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1F191FBB" w:rsidR="00E203C2" w:rsidRDefault="00E203C2" w:rsidP="00E203C2">
      <w:bookmarkStart w:id="0" w:name="_GoBack"/>
      <w:bookmarkEnd w:id="0"/>
      <w:r>
        <w:rPr>
          <w:noProof/>
          <w:lang w:eastAsia="en-GB" w:bidi="ar-SA"/>
        </w:rPr>
        <w:drawing>
          <wp:inline distT="0" distB="0" distL="0" distR="0" wp14:anchorId="653CD4DB" wp14:editId="21E3163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2ABA11D4" w:rsidR="00BA24E2" w:rsidRPr="000C4313" w:rsidRDefault="00A904CD" w:rsidP="00BA24E2">
      <w:pPr>
        <w:rPr>
          <w:b/>
          <w:sz w:val="28"/>
          <w:szCs w:val="28"/>
        </w:rPr>
      </w:pPr>
      <w:r w:rsidRPr="000C4313">
        <w:rPr>
          <w:b/>
          <w:sz w:val="28"/>
          <w:szCs w:val="28"/>
        </w:rPr>
        <w:t>1</w:t>
      </w:r>
      <w:r w:rsidR="00CC61D1">
        <w:rPr>
          <w:b/>
          <w:sz w:val="28"/>
          <w:szCs w:val="28"/>
        </w:rPr>
        <w:t>4</w:t>
      </w:r>
      <w:r w:rsidRPr="000C4313">
        <w:rPr>
          <w:b/>
          <w:sz w:val="28"/>
          <w:szCs w:val="28"/>
        </w:rPr>
        <w:t xml:space="preserve"> February 2022</w:t>
      </w:r>
    </w:p>
    <w:p w14:paraId="36055913" w14:textId="3DF1E2E6" w:rsidR="00BA24E2" w:rsidRPr="000C4313" w:rsidRDefault="00A904CD" w:rsidP="00BA24E2">
      <w:pPr>
        <w:rPr>
          <w:b/>
          <w:sz w:val="28"/>
          <w:szCs w:val="28"/>
        </w:rPr>
      </w:pPr>
      <w:r w:rsidRPr="000C4313">
        <w:rPr>
          <w:b/>
          <w:sz w:val="28"/>
          <w:szCs w:val="28"/>
        </w:rPr>
        <w:t>190-22</w:t>
      </w:r>
    </w:p>
    <w:p w14:paraId="0636FCE1" w14:textId="77777777" w:rsidR="00BA24E2" w:rsidRPr="000C4313" w:rsidRDefault="00BA24E2" w:rsidP="00E203C2"/>
    <w:p w14:paraId="06900874" w14:textId="0F368492" w:rsidR="00D056F1" w:rsidRPr="00AE3429" w:rsidRDefault="000427B2" w:rsidP="002432EE">
      <w:pPr>
        <w:pStyle w:val="FSTitle"/>
        <w:rPr>
          <w:b/>
        </w:rPr>
      </w:pPr>
      <w:r w:rsidRPr="00AE3429">
        <w:rPr>
          <w:b/>
        </w:rPr>
        <w:t>C</w:t>
      </w:r>
      <w:r w:rsidR="00D8470F" w:rsidRPr="00AE3429">
        <w:rPr>
          <w:b/>
        </w:rPr>
        <w:t>all</w:t>
      </w:r>
      <w:r w:rsidRPr="00AE3429">
        <w:rPr>
          <w:b/>
        </w:rPr>
        <w:t xml:space="preserve"> </w:t>
      </w:r>
      <w:r w:rsidR="00D8470F" w:rsidRPr="00AE3429">
        <w:rPr>
          <w:b/>
        </w:rPr>
        <w:t>for</w:t>
      </w:r>
      <w:r w:rsidRPr="00AE3429">
        <w:rPr>
          <w:b/>
        </w:rPr>
        <w:t xml:space="preserve"> </w:t>
      </w:r>
      <w:r w:rsidR="00D8470F" w:rsidRPr="00AE3429">
        <w:rPr>
          <w:b/>
        </w:rPr>
        <w:t>submissions</w:t>
      </w:r>
      <w:r w:rsidRPr="00AE3429">
        <w:rPr>
          <w:b/>
        </w:rPr>
        <w:t xml:space="preserve"> –</w:t>
      </w:r>
      <w:r w:rsidR="00603257">
        <w:rPr>
          <w:b/>
        </w:rPr>
        <w:t xml:space="preserve"> </w:t>
      </w:r>
      <w:r w:rsidR="00E203C2" w:rsidRPr="00AE3429">
        <w:rPr>
          <w:b/>
        </w:rPr>
        <w:t>P</w:t>
      </w:r>
      <w:r w:rsidR="00A91DF1" w:rsidRPr="00AE3429">
        <w:rPr>
          <w:b/>
        </w:rPr>
        <w:t>roposal</w:t>
      </w:r>
      <w:r w:rsidR="00D056F1" w:rsidRPr="00AE3429">
        <w:rPr>
          <w:b/>
        </w:rPr>
        <w:t xml:space="preserve"> </w:t>
      </w:r>
      <w:r w:rsidR="00E203C2" w:rsidRPr="00AE3429">
        <w:rPr>
          <w:b/>
        </w:rPr>
        <w:t>P</w:t>
      </w:r>
      <w:r w:rsidR="005248B9" w:rsidRPr="00AE3429">
        <w:rPr>
          <w:b/>
        </w:rPr>
        <w:t>1053</w:t>
      </w:r>
    </w:p>
    <w:p w14:paraId="5EA0ECE8" w14:textId="77777777" w:rsidR="00E203C2" w:rsidRPr="00AE3429" w:rsidRDefault="00E203C2" w:rsidP="00E203C2"/>
    <w:p w14:paraId="5EAD64E9" w14:textId="5A827DB9" w:rsidR="00D056F1" w:rsidRPr="00AE3429" w:rsidRDefault="005248B9" w:rsidP="002432EE">
      <w:pPr>
        <w:pStyle w:val="FSTitle"/>
      </w:pPr>
      <w:r w:rsidRPr="00AE3429">
        <w:t>Food Safety Management Tools</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2B9ECA3C" w14:textId="014CD065" w:rsidR="00413CA8" w:rsidRPr="00AE3429" w:rsidRDefault="00413CA8" w:rsidP="00600B20">
      <w:pPr>
        <w:spacing w:after="240"/>
        <w:rPr>
          <w:sz w:val="20"/>
          <w:szCs w:val="20"/>
        </w:rPr>
      </w:pPr>
      <w:r w:rsidRPr="00AE3429">
        <w:rPr>
          <w:sz w:val="20"/>
          <w:szCs w:val="20"/>
        </w:rPr>
        <w:t>FSANZ has assessed a</w:t>
      </w:r>
      <w:r w:rsidR="00D81D38" w:rsidRPr="00AE3429">
        <w:rPr>
          <w:sz w:val="20"/>
          <w:szCs w:val="20"/>
        </w:rPr>
        <w:t xml:space="preserve"> proposal </w:t>
      </w:r>
      <w:r w:rsidRPr="00AE3429">
        <w:rPr>
          <w:sz w:val="20"/>
          <w:szCs w:val="20"/>
        </w:rPr>
        <w:t xml:space="preserve">to </w:t>
      </w:r>
      <w:r w:rsidR="00DB71C9">
        <w:rPr>
          <w:sz w:val="20"/>
          <w:szCs w:val="20"/>
        </w:rPr>
        <w:t>consider food safety management tools for the food service and retail sectors</w:t>
      </w:r>
      <w:r w:rsidR="00D81D38" w:rsidRPr="00541A55">
        <w:rPr>
          <w:sz w:val="20"/>
          <w:szCs w:val="20"/>
        </w:rPr>
        <w:t xml:space="preserve"> </w:t>
      </w:r>
      <w:r w:rsidR="00D81D38" w:rsidRPr="00AE3429">
        <w:rPr>
          <w:sz w:val="20"/>
          <w:szCs w:val="20"/>
        </w:rPr>
        <w:t xml:space="preserve">and has prepared </w:t>
      </w:r>
      <w:r w:rsidR="00DE40E0">
        <w:rPr>
          <w:sz w:val="20"/>
          <w:szCs w:val="20"/>
        </w:rPr>
        <w:t>two draft food regulatory measures - a new draft Standard and a draft consequential variation to Standard 1.1.17</w:t>
      </w:r>
      <w:r w:rsidRPr="00AE3429">
        <w:rPr>
          <w:sz w:val="20"/>
          <w:szCs w:val="20"/>
        </w:rPr>
        <w:t xml:space="preserve">. </w:t>
      </w:r>
      <w:r w:rsidR="00D81D38" w:rsidRPr="00AE3429">
        <w:rPr>
          <w:sz w:val="20"/>
          <w:szCs w:val="20"/>
        </w:rPr>
        <w:t>Pursuant to section 6</w:t>
      </w:r>
      <w:r w:rsidRPr="00AE3429">
        <w:rPr>
          <w:sz w:val="20"/>
          <w:szCs w:val="20"/>
        </w:rPr>
        <w:t xml:space="preserve">1 of the </w:t>
      </w:r>
      <w:r w:rsidRPr="00AE3429">
        <w:rPr>
          <w:i/>
          <w:sz w:val="20"/>
          <w:szCs w:val="20"/>
        </w:rPr>
        <w:t xml:space="preserve">Food Standards Australia New Zealand Act 1991 </w:t>
      </w:r>
      <w:r w:rsidRPr="00AE3429">
        <w:rPr>
          <w:sz w:val="20"/>
          <w:szCs w:val="20"/>
        </w:rPr>
        <w:t>(FSANZ Act), FSANZ now calls for submissions to assist consideration</w:t>
      </w:r>
      <w:r w:rsidR="00D81D38" w:rsidRPr="00AE3429">
        <w:rPr>
          <w:sz w:val="20"/>
          <w:szCs w:val="20"/>
        </w:rPr>
        <w:t xml:space="preserve"> of the draft </w:t>
      </w:r>
      <w:r w:rsidR="00D8470F" w:rsidRPr="00AE3429">
        <w:rPr>
          <w:sz w:val="20"/>
          <w:szCs w:val="20"/>
        </w:rPr>
        <w:t>food regulatory measure</w:t>
      </w:r>
      <w:r w:rsidR="00D81D38" w:rsidRPr="00AE3429">
        <w:rPr>
          <w:sz w:val="20"/>
          <w:szCs w:val="20"/>
        </w:rPr>
        <w:t>.</w:t>
      </w:r>
    </w:p>
    <w:p w14:paraId="76C6F484" w14:textId="2E2E0087" w:rsidR="00351B07" w:rsidRDefault="00A91DF1" w:rsidP="00600B20">
      <w:pPr>
        <w:spacing w:after="240"/>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541A55" w:rsidRPr="000C4313">
          <w:rPr>
            <w:rStyle w:val="Hyperlink"/>
            <w:sz w:val="20"/>
            <w:szCs w:val="20"/>
            <w:lang w:val="en-AU"/>
          </w:rPr>
          <w:t>current calls for public comment and how to make a submission</w:t>
        </w:r>
      </w:hyperlink>
      <w:r w:rsidR="00541A55" w:rsidRPr="007C174F">
        <w:rPr>
          <w:sz w:val="20"/>
          <w:szCs w:val="20"/>
        </w:rPr>
        <w:t>.</w:t>
      </w:r>
    </w:p>
    <w:p w14:paraId="718082BB" w14:textId="77777777" w:rsidR="00541A55" w:rsidRDefault="00541A55" w:rsidP="00600B20">
      <w:pPr>
        <w:spacing w:after="240"/>
        <w:ind w:right="-428"/>
        <w:rPr>
          <w:sz w:val="20"/>
          <w:szCs w:val="20"/>
        </w:rPr>
      </w:pPr>
      <w:r w:rsidRPr="00276026">
        <w:rPr>
          <w:sz w:val="20"/>
          <w:szCs w:val="20"/>
        </w:rPr>
        <w:t xml:space="preserve">All submissions on applications and proposals will be published on our website. We will not publish material that </w:t>
      </w:r>
      <w:r>
        <w:rPr>
          <w:sz w:val="20"/>
          <w:szCs w:val="20"/>
        </w:rPr>
        <w:t xml:space="preserve">we accept as confidential. </w:t>
      </w:r>
      <w:r w:rsidRPr="00276026">
        <w:rPr>
          <w:sz w:val="20"/>
          <w:szCs w:val="20"/>
        </w:rPr>
        <w:t xml:space="preserve">In-confidence submissions may be subject to release under the provisions of the </w:t>
      </w:r>
      <w:r w:rsidRPr="00276026">
        <w:rPr>
          <w:i/>
          <w:iCs/>
          <w:sz w:val="20"/>
          <w:szCs w:val="20"/>
        </w:rPr>
        <w:t>Freedom of Information Act 19</w:t>
      </w:r>
      <w:r>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Pr>
          <w:sz w:val="20"/>
          <w:szCs w:val="20"/>
        </w:rPr>
        <w:t>submission</w:t>
      </w:r>
      <w:r w:rsidRPr="00276026">
        <w:rPr>
          <w:sz w:val="20"/>
          <w:szCs w:val="20"/>
        </w:rPr>
        <w:t xml:space="preserve"> period. </w:t>
      </w:r>
    </w:p>
    <w:p w14:paraId="3E0DED56" w14:textId="3106C9C4" w:rsidR="00541A55" w:rsidRPr="00760317" w:rsidRDefault="00AD22F9" w:rsidP="00600B20">
      <w:pPr>
        <w:spacing w:after="240"/>
        <w:rPr>
          <w:sz w:val="20"/>
          <w:szCs w:val="20"/>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541A55" w:rsidRPr="00760317">
        <w:rPr>
          <w:color w:val="000000"/>
          <w:sz w:val="20"/>
          <w:szCs w:val="20"/>
          <w:lang w:val="en-AU"/>
        </w:rPr>
        <w:t xml:space="preserve">. </w:t>
      </w:r>
      <w:r w:rsidR="00541A55" w:rsidRPr="00760317">
        <w:rPr>
          <w:sz w:val="20"/>
          <w:szCs w:val="20"/>
        </w:rPr>
        <w:t xml:space="preserve">For information on how FSANZ manages personal information when you make a submission, see </w:t>
      </w:r>
      <w:r w:rsidR="00541A55">
        <w:rPr>
          <w:sz w:val="20"/>
          <w:szCs w:val="20"/>
        </w:rPr>
        <w:t>FSANZ’s</w:t>
      </w:r>
      <w:r w:rsidR="00541A55" w:rsidRPr="00760317">
        <w:rPr>
          <w:sz w:val="20"/>
          <w:szCs w:val="20"/>
        </w:rPr>
        <w:t xml:space="preserve"> </w:t>
      </w:r>
      <w:hyperlink r:id="rId17" w:history="1">
        <w:r w:rsidR="00541A55">
          <w:rPr>
            <w:rStyle w:val="Hyperlink"/>
            <w:sz w:val="20"/>
            <w:szCs w:val="20"/>
          </w:rPr>
          <w:t>Privacy Policy.</w:t>
        </w:r>
      </w:hyperlink>
    </w:p>
    <w:p w14:paraId="36A2048E" w14:textId="645D5D2A" w:rsidR="00E063C6" w:rsidRPr="007C174F" w:rsidRDefault="00541A55" w:rsidP="00600B20">
      <w:pPr>
        <w:spacing w:after="240"/>
        <w:rPr>
          <w:color w:val="000000"/>
          <w:sz w:val="20"/>
          <w:szCs w:val="20"/>
          <w:lang w:val="en-AU"/>
        </w:rPr>
      </w:pPr>
      <w:r w:rsidRPr="007C174F">
        <w:rPr>
          <w:color w:val="000000"/>
          <w:sz w:val="20"/>
          <w:szCs w:val="20"/>
          <w:lang w:val="en-AU"/>
        </w:rPr>
        <w:t xml:space="preserve">Submissions should be made in writing; be marked clearly with the word </w:t>
      </w:r>
      <w:r>
        <w:rPr>
          <w:color w:val="000000"/>
          <w:sz w:val="20"/>
          <w:szCs w:val="20"/>
          <w:lang w:val="en-AU"/>
        </w:rPr>
        <w:t>‘S</w:t>
      </w:r>
      <w:r w:rsidRPr="007C174F">
        <w:rPr>
          <w:color w:val="000000"/>
          <w:sz w:val="20"/>
          <w:szCs w:val="20"/>
          <w:lang w:val="en-AU"/>
        </w:rPr>
        <w:t>ubmission</w:t>
      </w:r>
      <w:r>
        <w:rPr>
          <w:color w:val="000000"/>
          <w:sz w:val="20"/>
          <w:szCs w:val="20"/>
          <w:lang w:val="en-AU"/>
        </w:rPr>
        <w:t>’. You also need to include the correct application or proposal number</w:t>
      </w:r>
      <w:r w:rsidRPr="007C174F">
        <w:rPr>
          <w:color w:val="000000"/>
          <w:sz w:val="20"/>
          <w:szCs w:val="20"/>
          <w:lang w:val="en-AU"/>
        </w:rPr>
        <w:t xml:space="preserve"> and name</w:t>
      </w:r>
      <w:r>
        <w:rPr>
          <w:color w:val="000000"/>
          <w:sz w:val="20"/>
          <w:szCs w:val="20"/>
          <w:lang w:val="en-AU"/>
        </w:rPr>
        <w:t xml:space="preserve">. Electronic </w:t>
      </w:r>
      <w:r w:rsidRPr="007C174F">
        <w:rPr>
          <w:color w:val="000000"/>
          <w:sz w:val="20"/>
          <w:szCs w:val="20"/>
          <w:lang w:val="en-AU"/>
        </w:rPr>
        <w:t xml:space="preserve">submissions </w:t>
      </w:r>
      <w:r>
        <w:rPr>
          <w:color w:val="000000"/>
          <w:sz w:val="20"/>
          <w:szCs w:val="20"/>
          <w:lang w:val="en-AU"/>
        </w:rPr>
        <w:t xml:space="preserve">can be made </w:t>
      </w:r>
      <w:r w:rsidRPr="007C174F">
        <w:rPr>
          <w:color w:val="000000"/>
          <w:sz w:val="20"/>
          <w:szCs w:val="20"/>
          <w:lang w:val="en-AU"/>
        </w:rPr>
        <w:t>through the</w:t>
      </w:r>
      <w:r w:rsidR="00FC252D">
        <w:rPr>
          <w:color w:val="000000"/>
          <w:sz w:val="20"/>
          <w:szCs w:val="20"/>
          <w:lang w:val="en-AU"/>
        </w:rPr>
        <w:t xml:space="preserve"> </w:t>
      </w:r>
      <w:r w:rsidRPr="007C174F">
        <w:rPr>
          <w:color w:val="000000"/>
          <w:sz w:val="20"/>
          <w:szCs w:val="20"/>
          <w:lang w:val="en-AU"/>
        </w:rPr>
        <w:t xml:space="preserve">FSANZ website </w:t>
      </w:r>
      <w:r>
        <w:rPr>
          <w:color w:val="000000"/>
          <w:sz w:val="20"/>
          <w:szCs w:val="20"/>
          <w:lang w:val="en-AU"/>
        </w:rPr>
        <w:t>via the link</w:t>
      </w:r>
      <w:r w:rsidRPr="008C0E7A">
        <w:rPr>
          <w:color w:val="000000"/>
          <w:sz w:val="20"/>
          <w:szCs w:val="20"/>
          <w:lang w:val="en-AU"/>
        </w:rPr>
        <w:t xml:space="preserve"> </w:t>
      </w:r>
      <w:hyperlink r:id="rId18" w:history="1">
        <w:r>
          <w:rPr>
            <w:rStyle w:val="Hyperlink"/>
            <w:sz w:val="20"/>
            <w:szCs w:val="20"/>
          </w:rPr>
          <w:t>how to make a submission.</w:t>
        </w:r>
      </w:hyperlink>
      <w:r>
        <w:rPr>
          <w:rStyle w:val="Hyperlink"/>
          <w:sz w:val="20"/>
          <w:szCs w:val="20"/>
        </w:rPr>
        <w:t xml:space="preserve"> </w:t>
      </w:r>
      <w:r>
        <w:rPr>
          <w:color w:val="000000"/>
          <w:sz w:val="20"/>
          <w:szCs w:val="20"/>
          <w:lang w:val="en-AU"/>
        </w:rPr>
        <w:t>You can also</w:t>
      </w:r>
      <w:r w:rsidRPr="007C174F">
        <w:rPr>
          <w:color w:val="000000"/>
          <w:sz w:val="20"/>
          <w:szCs w:val="20"/>
          <w:lang w:val="en-AU"/>
        </w:rPr>
        <w:t xml:space="preserve"> email your submission to </w:t>
      </w:r>
      <w:hyperlink r:id="rId19" w:history="1">
        <w:r w:rsidRPr="007C174F">
          <w:rPr>
            <w:rStyle w:val="Hyperlink"/>
            <w:rFonts w:cs="Arial"/>
            <w:sz w:val="20"/>
            <w:szCs w:val="20"/>
            <w:lang w:val="en-AU"/>
          </w:rPr>
          <w:t>submissions@foodstandards.gov.au</w:t>
        </w:r>
      </w:hyperlink>
      <w:r>
        <w:rPr>
          <w:color w:val="000000"/>
          <w:sz w:val="20"/>
          <w:szCs w:val="20"/>
          <w:lang w:val="en-AU"/>
        </w:rPr>
        <w:t xml:space="preserve">. </w:t>
      </w:r>
      <w:r w:rsidRPr="007C174F">
        <w:rPr>
          <w:color w:val="000000"/>
          <w:sz w:val="20"/>
          <w:szCs w:val="20"/>
          <w:lang w:val="en-AU"/>
        </w:rPr>
        <w:t xml:space="preserve">FSANZ </w:t>
      </w:r>
      <w:r>
        <w:rPr>
          <w:color w:val="000000"/>
          <w:sz w:val="20"/>
          <w:szCs w:val="20"/>
          <w:lang w:val="en-AU"/>
        </w:rPr>
        <w:t xml:space="preserve">also </w:t>
      </w:r>
      <w:r w:rsidRPr="007C174F">
        <w:rPr>
          <w:color w:val="000000"/>
          <w:sz w:val="20"/>
          <w:szCs w:val="20"/>
          <w:lang w:val="en-AU"/>
        </w:rPr>
        <w:t xml:space="preserve">accepts submissions in hard copy to our </w:t>
      </w:r>
      <w:r>
        <w:rPr>
          <w:color w:val="000000"/>
          <w:sz w:val="20"/>
          <w:szCs w:val="20"/>
          <w:lang w:val="en-AU"/>
        </w:rPr>
        <w:t xml:space="preserve">Australia and/or New Zealand </w:t>
      </w:r>
      <w:r w:rsidRPr="007C174F">
        <w:rPr>
          <w:color w:val="000000"/>
          <w:sz w:val="20"/>
          <w:szCs w:val="20"/>
          <w:lang w:val="en-AU"/>
        </w:rPr>
        <w:t>offices</w:t>
      </w:r>
      <w:r>
        <w:rPr>
          <w:color w:val="000000"/>
          <w:sz w:val="20"/>
          <w:szCs w:val="20"/>
          <w:lang w:val="en-AU"/>
        </w:rPr>
        <w:t>.</w:t>
      </w:r>
      <w:r w:rsidR="00395391">
        <w:rPr>
          <w:color w:val="000000"/>
          <w:sz w:val="20"/>
          <w:szCs w:val="20"/>
          <w:lang w:val="en-AU"/>
        </w:rPr>
        <w:t xml:space="preserve"> </w:t>
      </w:r>
      <w:r w:rsidR="00E063C6" w:rsidRPr="007C174F">
        <w:rPr>
          <w:color w:val="000000"/>
          <w:sz w:val="20"/>
          <w:szCs w:val="20"/>
          <w:lang w:val="en-AU"/>
        </w:rPr>
        <w:t xml:space="preserve">There is no need to </w:t>
      </w:r>
      <w:r w:rsidR="00E063C6" w:rsidRPr="007C174F">
        <w:rPr>
          <w:color w:val="000000"/>
          <w:sz w:val="20"/>
          <w:szCs w:val="20"/>
          <w:lang w:val="en-AU"/>
        </w:rPr>
        <w:lastRenderedPageBreak/>
        <w:t xml:space="preserve">send a hard copy of your submission if you have submitted it by email or </w:t>
      </w:r>
      <w:r w:rsidR="0037520F">
        <w:rPr>
          <w:color w:val="000000"/>
          <w:sz w:val="20"/>
          <w:szCs w:val="20"/>
          <w:lang w:val="en-AU"/>
        </w:rPr>
        <w:t xml:space="preserve">via </w:t>
      </w:r>
      <w:r w:rsidR="00E063C6" w:rsidRPr="007C174F">
        <w:rPr>
          <w:color w:val="000000"/>
          <w:sz w:val="20"/>
          <w:szCs w:val="20"/>
          <w:lang w:val="en-AU"/>
        </w:rPr>
        <w:t>the FSANZ website</w:t>
      </w:r>
      <w:r w:rsidR="003309A8">
        <w:rPr>
          <w:color w:val="000000"/>
          <w:sz w:val="20"/>
          <w:szCs w:val="20"/>
          <w:lang w:val="en-AU"/>
        </w:rPr>
        <w:t xml:space="preserve">. </w:t>
      </w:r>
      <w:r w:rsidR="00E063C6" w:rsidRPr="007C174F">
        <w:rPr>
          <w:color w:val="000000"/>
          <w:sz w:val="20"/>
          <w:szCs w:val="20"/>
          <w:lang w:val="en-AU"/>
        </w:rPr>
        <w:t>FSANZ endeavours to formally acknowledge receipt of submissions within 3 business days.</w:t>
      </w:r>
    </w:p>
    <w:p w14:paraId="03816012" w14:textId="5518333B" w:rsidR="00E063C6" w:rsidRPr="00FB1533" w:rsidRDefault="00E063C6" w:rsidP="00600B20">
      <w:pPr>
        <w:tabs>
          <w:tab w:val="left" w:pos="7920"/>
        </w:tabs>
        <w:autoSpaceDE w:val="0"/>
        <w:autoSpaceDN w:val="0"/>
        <w:adjustRightInd w:val="0"/>
        <w:spacing w:after="24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00FC252D">
        <w:rPr>
          <w:rFonts w:cs="Arial"/>
          <w:b/>
          <w:sz w:val="24"/>
        </w:rPr>
        <w:t xml:space="preserve"> </w:t>
      </w:r>
      <w:r w:rsidRPr="00FB1533">
        <w:rPr>
          <w:rFonts w:cs="Arial"/>
          <w:b/>
          <w:bCs/>
          <w:sz w:val="24"/>
        </w:rPr>
        <w:t xml:space="preserve">6pm (Canberra time) </w:t>
      </w:r>
      <w:r w:rsidR="00CC61D1">
        <w:rPr>
          <w:rFonts w:cs="Arial"/>
          <w:b/>
          <w:bCs/>
          <w:sz w:val="24"/>
        </w:rPr>
        <w:t>11</w:t>
      </w:r>
      <w:r w:rsidR="00B31DDB" w:rsidRPr="000C4313">
        <w:rPr>
          <w:rFonts w:cs="Arial"/>
          <w:b/>
          <w:bCs/>
          <w:sz w:val="24"/>
        </w:rPr>
        <w:t xml:space="preserve"> April 2022</w:t>
      </w:r>
    </w:p>
    <w:p w14:paraId="0D7D85BE" w14:textId="3A4EAE64" w:rsidR="00E063C6" w:rsidRPr="007C174F" w:rsidRDefault="00E063C6" w:rsidP="00600B20">
      <w:pPr>
        <w:spacing w:after="24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541A55">
        <w:rPr>
          <w:sz w:val="20"/>
          <w:szCs w:val="20"/>
          <w:lang w:val="en-AU"/>
        </w:rPr>
        <w:t xml:space="preserve"> </w:t>
      </w:r>
      <w:r w:rsidR="0037520F">
        <w:rPr>
          <w:sz w:val="20"/>
          <w:szCs w:val="20"/>
          <w:lang w:val="en-AU"/>
        </w:rPr>
        <w:t>Questions about</w:t>
      </w:r>
      <w:r w:rsidRPr="007C174F">
        <w:rPr>
          <w:sz w:val="20"/>
          <w:szCs w:val="20"/>
          <w:lang w:val="en-AU"/>
        </w:rPr>
        <w:t xml:space="preserve"> making </w:t>
      </w:r>
      <w:r w:rsidR="00541A55">
        <w:rPr>
          <w:sz w:val="20"/>
          <w:szCs w:val="20"/>
          <w:lang w:val="en-AU"/>
        </w:rPr>
        <w:t xml:space="preserve">a </w:t>
      </w:r>
      <w:r w:rsidR="00541A55" w:rsidRPr="007C174F">
        <w:rPr>
          <w:sz w:val="20"/>
          <w:szCs w:val="20"/>
          <w:lang w:val="en-AU"/>
        </w:rPr>
        <w:t>submission</w:t>
      </w:r>
      <w:r w:rsidRPr="007C174F">
        <w:rPr>
          <w:sz w:val="20"/>
          <w:szCs w:val="20"/>
          <w:lang w:val="en-AU"/>
        </w:rPr>
        <w:t xml:space="preserve"> or application </w:t>
      </w:r>
      <w:r w:rsidR="00541A55">
        <w:rPr>
          <w:sz w:val="20"/>
          <w:szCs w:val="20"/>
          <w:lang w:val="en-AU"/>
        </w:rPr>
        <w:t xml:space="preserve">and proposal </w:t>
      </w:r>
      <w:r w:rsidR="00541A55" w:rsidRPr="007C174F">
        <w:rPr>
          <w:sz w:val="20"/>
          <w:szCs w:val="20"/>
          <w:lang w:val="en-AU"/>
        </w:rPr>
        <w:t>process</w:t>
      </w:r>
      <w:r w:rsidR="00541A55">
        <w:rPr>
          <w:sz w:val="20"/>
          <w:szCs w:val="20"/>
          <w:lang w:val="en-AU"/>
        </w:rPr>
        <w:t>es</w:t>
      </w:r>
      <w:r w:rsidRPr="007C174F">
        <w:rPr>
          <w:sz w:val="20"/>
          <w:szCs w:val="20"/>
          <w:lang w:val="en-AU"/>
        </w:rPr>
        <w:t xml:space="preserve"> can be </w:t>
      </w:r>
      <w:r w:rsidR="0037520F">
        <w:rPr>
          <w:sz w:val="20"/>
          <w:szCs w:val="20"/>
          <w:lang w:val="en-AU"/>
        </w:rPr>
        <w:t>sent to</w:t>
      </w:r>
      <w:r w:rsidRPr="007C174F">
        <w:rPr>
          <w:sz w:val="20"/>
          <w:szCs w:val="20"/>
          <w:lang w:val="en-AU"/>
        </w:rPr>
        <w:t xml:space="preserve"> </w:t>
      </w:r>
      <w:hyperlink r:id="rId20"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2C96C3E9" w14:textId="77777777" w:rsidR="00541A55" w:rsidRPr="007C174F" w:rsidRDefault="00541A55" w:rsidP="00395391">
      <w:pPr>
        <w:rPr>
          <w:sz w:val="20"/>
          <w:szCs w:val="20"/>
          <w:lang w:val="en-AU"/>
        </w:rPr>
      </w:pPr>
      <w:r>
        <w:rPr>
          <w:sz w:val="20"/>
          <w:szCs w:val="20"/>
          <w:lang w:val="en-AU"/>
        </w:rPr>
        <w:t>S</w:t>
      </w:r>
      <w:r w:rsidRPr="007C174F">
        <w:rPr>
          <w:sz w:val="20"/>
          <w:szCs w:val="20"/>
          <w:lang w:val="en-AU"/>
        </w:rPr>
        <w:t xml:space="preserve">ubmissions </w:t>
      </w:r>
      <w:r>
        <w:rPr>
          <w:sz w:val="20"/>
          <w:szCs w:val="20"/>
          <w:lang w:val="en-AU"/>
        </w:rPr>
        <w:t xml:space="preserve">in hard copy </w:t>
      </w:r>
      <w:r w:rsidRPr="007C174F">
        <w:rPr>
          <w:sz w:val="20"/>
          <w:szCs w:val="20"/>
          <w:lang w:val="en-AU"/>
        </w:rPr>
        <w:t>may be sent to the following addresses:</w:t>
      </w:r>
    </w:p>
    <w:p w14:paraId="7FC39125" w14:textId="77777777" w:rsidR="00E203C2" w:rsidRPr="000C4313" w:rsidRDefault="00E063C6" w:rsidP="00E203C2">
      <w:pPr>
        <w:tabs>
          <w:tab w:val="left" w:pos="4536"/>
        </w:tabs>
        <w:rPr>
          <w:sz w:val="18"/>
          <w:szCs w:val="18"/>
        </w:rPr>
      </w:pPr>
      <w:r w:rsidRPr="000C4313">
        <w:rPr>
          <w:sz w:val="18"/>
          <w:szCs w:val="18"/>
        </w:rPr>
        <w:t>Food Standards Australia New Zealand</w:t>
      </w:r>
      <w:r w:rsidRPr="000C4313">
        <w:rPr>
          <w:sz w:val="18"/>
          <w:szCs w:val="18"/>
        </w:rPr>
        <w:tab/>
      </w:r>
      <w:r w:rsidRPr="000C4313">
        <w:rPr>
          <w:sz w:val="18"/>
          <w:szCs w:val="18"/>
        </w:rPr>
        <w:tab/>
        <w:t>Food Standards Australia New Zealand</w:t>
      </w:r>
    </w:p>
    <w:p w14:paraId="0CA4240B" w14:textId="77777777" w:rsidR="00E203C2" w:rsidRPr="000C4313" w:rsidRDefault="00E063C6" w:rsidP="00E203C2">
      <w:pPr>
        <w:tabs>
          <w:tab w:val="left" w:pos="4536"/>
        </w:tabs>
        <w:rPr>
          <w:sz w:val="18"/>
          <w:szCs w:val="18"/>
        </w:rPr>
      </w:pPr>
      <w:r w:rsidRPr="000C4313">
        <w:rPr>
          <w:sz w:val="18"/>
          <w:szCs w:val="18"/>
        </w:rPr>
        <w:t xml:space="preserve">PO Box </w:t>
      </w:r>
      <w:r w:rsidR="00685269" w:rsidRPr="000C4313">
        <w:rPr>
          <w:sz w:val="18"/>
          <w:szCs w:val="18"/>
        </w:rPr>
        <w:t>5423</w:t>
      </w:r>
      <w:r w:rsidRPr="000C4313">
        <w:rPr>
          <w:sz w:val="18"/>
          <w:szCs w:val="18"/>
        </w:rPr>
        <w:tab/>
      </w:r>
      <w:r w:rsidRPr="000C4313">
        <w:rPr>
          <w:sz w:val="18"/>
          <w:szCs w:val="18"/>
        </w:rPr>
        <w:tab/>
        <w:t>PO Box 10559</w:t>
      </w:r>
    </w:p>
    <w:p w14:paraId="28D4D255" w14:textId="1CD1DFFF" w:rsidR="00541A55" w:rsidRPr="000C4313" w:rsidRDefault="00541A55" w:rsidP="00541A55">
      <w:pPr>
        <w:tabs>
          <w:tab w:val="left" w:pos="4536"/>
        </w:tabs>
        <w:rPr>
          <w:sz w:val="18"/>
          <w:szCs w:val="18"/>
        </w:rPr>
      </w:pPr>
      <w:r w:rsidRPr="000C4313">
        <w:rPr>
          <w:sz w:val="18"/>
          <w:szCs w:val="18"/>
        </w:rPr>
        <w:t>KINGSTON</w:t>
      </w:r>
      <w:r w:rsidR="00FC252D" w:rsidRPr="000C4313">
        <w:rPr>
          <w:sz w:val="18"/>
          <w:szCs w:val="18"/>
        </w:rPr>
        <w:t xml:space="preserve"> </w:t>
      </w:r>
      <w:r w:rsidRPr="000C4313">
        <w:rPr>
          <w:sz w:val="18"/>
          <w:szCs w:val="18"/>
        </w:rPr>
        <w:t>ACT</w:t>
      </w:r>
      <w:r w:rsidR="00FC252D" w:rsidRPr="000C4313">
        <w:rPr>
          <w:sz w:val="18"/>
          <w:szCs w:val="18"/>
        </w:rPr>
        <w:t xml:space="preserve"> </w:t>
      </w:r>
      <w:r w:rsidRPr="000C4313">
        <w:rPr>
          <w:sz w:val="18"/>
          <w:szCs w:val="18"/>
        </w:rPr>
        <w:t>2604</w:t>
      </w:r>
      <w:r w:rsidRPr="000C4313">
        <w:rPr>
          <w:sz w:val="18"/>
          <w:szCs w:val="18"/>
        </w:rPr>
        <w:tab/>
      </w:r>
      <w:r w:rsidRPr="000C4313">
        <w:rPr>
          <w:sz w:val="18"/>
          <w:szCs w:val="18"/>
        </w:rPr>
        <w:tab/>
        <w:t>WELLINGTON 6140</w:t>
      </w:r>
    </w:p>
    <w:p w14:paraId="070E177F" w14:textId="77777777" w:rsidR="00E063C6" w:rsidRPr="000C4313" w:rsidRDefault="00E063C6" w:rsidP="00E203C2">
      <w:pPr>
        <w:tabs>
          <w:tab w:val="left" w:pos="4536"/>
        </w:tabs>
        <w:rPr>
          <w:sz w:val="18"/>
          <w:szCs w:val="18"/>
        </w:rPr>
      </w:pPr>
      <w:r w:rsidRPr="000C4313">
        <w:rPr>
          <w:sz w:val="18"/>
          <w:szCs w:val="18"/>
        </w:rPr>
        <w:t>AUSTRALIA</w:t>
      </w:r>
      <w:r w:rsidRPr="000C4313">
        <w:rPr>
          <w:sz w:val="18"/>
          <w:szCs w:val="18"/>
        </w:rPr>
        <w:tab/>
      </w:r>
      <w:r w:rsidRPr="000C4313">
        <w:rPr>
          <w:sz w:val="18"/>
          <w:szCs w:val="18"/>
        </w:rPr>
        <w:tab/>
        <w:t>NEW ZEALAND</w:t>
      </w:r>
    </w:p>
    <w:p w14:paraId="42A81710" w14:textId="03350F7B" w:rsidR="00413CA8" w:rsidRPr="000C4313" w:rsidRDefault="00E063C6" w:rsidP="00203540">
      <w:pPr>
        <w:tabs>
          <w:tab w:val="left" w:pos="4536"/>
        </w:tabs>
        <w:rPr>
          <w:sz w:val="18"/>
          <w:szCs w:val="18"/>
        </w:rPr>
      </w:pPr>
      <w:r w:rsidRPr="000C4313">
        <w:rPr>
          <w:sz w:val="18"/>
          <w:szCs w:val="18"/>
        </w:rPr>
        <w:t xml:space="preserve">Tel </w:t>
      </w:r>
      <w:r w:rsidR="00DD3C5E" w:rsidRPr="000C4313">
        <w:rPr>
          <w:sz w:val="18"/>
          <w:szCs w:val="18"/>
        </w:rPr>
        <w:t>+61 2</w:t>
      </w:r>
      <w:r w:rsidRPr="000C4313">
        <w:rPr>
          <w:sz w:val="18"/>
          <w:szCs w:val="18"/>
        </w:rPr>
        <w:t xml:space="preserve"> 6271 2222</w:t>
      </w:r>
      <w:r w:rsidR="00FC252D" w:rsidRPr="000C4313">
        <w:rPr>
          <w:sz w:val="18"/>
          <w:szCs w:val="18"/>
        </w:rPr>
        <w:t xml:space="preserve"> </w:t>
      </w:r>
      <w:r w:rsidRPr="000C4313">
        <w:rPr>
          <w:sz w:val="18"/>
          <w:szCs w:val="18"/>
        </w:rPr>
        <w:tab/>
      </w:r>
      <w:r w:rsidRPr="000C4313">
        <w:rPr>
          <w:sz w:val="18"/>
          <w:szCs w:val="18"/>
        </w:rPr>
        <w:tab/>
        <w:t xml:space="preserve">Tel </w:t>
      </w:r>
      <w:r w:rsidR="00DD3C5E" w:rsidRPr="000C4313">
        <w:rPr>
          <w:sz w:val="18"/>
          <w:szCs w:val="18"/>
        </w:rPr>
        <w:t>+64 4</w:t>
      </w:r>
      <w:r w:rsidR="0037520F" w:rsidRPr="000C4313">
        <w:rPr>
          <w:sz w:val="18"/>
          <w:szCs w:val="18"/>
        </w:rPr>
        <w:t xml:space="preserve"> 978 5630</w:t>
      </w:r>
    </w:p>
    <w:p w14:paraId="458995EE" w14:textId="77777777" w:rsidR="00D22F3C" w:rsidRPr="000C4313" w:rsidRDefault="00D22F3C" w:rsidP="00413CA8">
      <w:pPr>
        <w:rPr>
          <w:sz w:val="18"/>
          <w:szCs w:val="18"/>
        </w:rPr>
      </w:pPr>
    </w:p>
    <w:p w14:paraId="085135E3" w14:textId="77777777" w:rsidR="00562917" w:rsidRPr="00212243" w:rsidRDefault="00562917" w:rsidP="00212243">
      <w:pPr>
        <w:rPr>
          <w:b/>
          <w:sz w:val="36"/>
          <w:szCs w:val="28"/>
        </w:rPr>
      </w:pPr>
      <w:r w:rsidRPr="00212243">
        <w:rPr>
          <w:b/>
          <w:sz w:val="36"/>
          <w:szCs w:val="28"/>
        </w:rPr>
        <w:t xml:space="preserve">Table of </w:t>
      </w:r>
      <w:r w:rsidR="000C412C" w:rsidRPr="00212243">
        <w:rPr>
          <w:b/>
          <w:sz w:val="36"/>
          <w:szCs w:val="28"/>
        </w:rPr>
        <w:t>c</w:t>
      </w:r>
      <w:r w:rsidRPr="00212243">
        <w:rPr>
          <w:b/>
          <w:sz w:val="36"/>
          <w:szCs w:val="28"/>
        </w:rPr>
        <w:t>ontents</w:t>
      </w:r>
    </w:p>
    <w:p w14:paraId="2E8CFC17" w14:textId="77777777" w:rsidR="00562917" w:rsidRPr="00AE766D" w:rsidRDefault="00562917" w:rsidP="00051ED9">
      <w:pPr>
        <w:rPr>
          <w:rFonts w:cs="Arial"/>
        </w:rPr>
      </w:pPr>
    </w:p>
    <w:p w14:paraId="7CAA2F27" w14:textId="7B8656E1" w:rsidR="0048596C" w:rsidRDefault="00051ED9">
      <w:pPr>
        <w:pStyle w:val="TOC1"/>
        <w:tabs>
          <w:tab w:val="right" w:leader="dot" w:pos="8052"/>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94172639" w:history="1">
        <w:r w:rsidR="0048596C" w:rsidRPr="001329F8">
          <w:rPr>
            <w:rStyle w:val="Hyperlink"/>
            <w:noProof/>
          </w:rPr>
          <w:t>Executive summary</w:t>
        </w:r>
        <w:r w:rsidR="0048596C">
          <w:rPr>
            <w:noProof/>
            <w:webHidden/>
          </w:rPr>
          <w:tab/>
        </w:r>
        <w:r w:rsidR="0048596C">
          <w:rPr>
            <w:noProof/>
            <w:webHidden/>
          </w:rPr>
          <w:fldChar w:fldCharType="begin"/>
        </w:r>
        <w:r w:rsidR="0048596C">
          <w:rPr>
            <w:noProof/>
            <w:webHidden/>
          </w:rPr>
          <w:instrText xml:space="preserve"> PAGEREF _Toc94172639 \h </w:instrText>
        </w:r>
        <w:r w:rsidR="0048596C">
          <w:rPr>
            <w:noProof/>
            <w:webHidden/>
          </w:rPr>
        </w:r>
        <w:r w:rsidR="0048596C">
          <w:rPr>
            <w:noProof/>
            <w:webHidden/>
          </w:rPr>
          <w:fldChar w:fldCharType="separate"/>
        </w:r>
        <w:r w:rsidR="00302799">
          <w:rPr>
            <w:noProof/>
            <w:webHidden/>
          </w:rPr>
          <w:t>4</w:t>
        </w:r>
        <w:r w:rsidR="0048596C">
          <w:rPr>
            <w:noProof/>
            <w:webHidden/>
          </w:rPr>
          <w:fldChar w:fldCharType="end"/>
        </w:r>
      </w:hyperlink>
    </w:p>
    <w:p w14:paraId="27DFE813" w14:textId="35D8ABBE"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40" w:history="1">
        <w:r w:rsidR="0048596C" w:rsidRPr="001329F8">
          <w:rPr>
            <w:rStyle w:val="Hyperlink"/>
            <w:noProof/>
          </w:rPr>
          <w:t>1</w:t>
        </w:r>
        <w:r w:rsidR="0048596C">
          <w:rPr>
            <w:rFonts w:eastAsiaTheme="minorEastAsia" w:cstheme="minorBidi"/>
            <w:b w:val="0"/>
            <w:bCs w:val="0"/>
            <w:caps w:val="0"/>
            <w:noProof/>
            <w:sz w:val="22"/>
            <w:szCs w:val="22"/>
            <w:lang w:eastAsia="en-GB" w:bidi="ar-SA"/>
          </w:rPr>
          <w:tab/>
        </w:r>
        <w:r w:rsidR="0048596C" w:rsidRPr="001329F8">
          <w:rPr>
            <w:rStyle w:val="Hyperlink"/>
            <w:noProof/>
          </w:rPr>
          <w:t>Introduction</w:t>
        </w:r>
        <w:r w:rsidR="0048596C">
          <w:rPr>
            <w:noProof/>
            <w:webHidden/>
          </w:rPr>
          <w:tab/>
        </w:r>
        <w:r w:rsidR="0048596C">
          <w:rPr>
            <w:noProof/>
            <w:webHidden/>
          </w:rPr>
          <w:fldChar w:fldCharType="begin"/>
        </w:r>
        <w:r w:rsidR="0048596C">
          <w:rPr>
            <w:noProof/>
            <w:webHidden/>
          </w:rPr>
          <w:instrText xml:space="preserve"> PAGEREF _Toc94172640 \h </w:instrText>
        </w:r>
        <w:r w:rsidR="0048596C">
          <w:rPr>
            <w:noProof/>
            <w:webHidden/>
          </w:rPr>
        </w:r>
        <w:r w:rsidR="0048596C">
          <w:rPr>
            <w:noProof/>
            <w:webHidden/>
          </w:rPr>
          <w:fldChar w:fldCharType="separate"/>
        </w:r>
        <w:r>
          <w:rPr>
            <w:noProof/>
            <w:webHidden/>
          </w:rPr>
          <w:t>7</w:t>
        </w:r>
        <w:r w:rsidR="0048596C">
          <w:rPr>
            <w:noProof/>
            <w:webHidden/>
          </w:rPr>
          <w:fldChar w:fldCharType="end"/>
        </w:r>
      </w:hyperlink>
    </w:p>
    <w:p w14:paraId="53D6F2F3" w14:textId="6D414263"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41" w:history="1">
        <w:r w:rsidR="0048596C" w:rsidRPr="001329F8">
          <w:rPr>
            <w:rStyle w:val="Hyperlink"/>
            <w:noProof/>
            <w:u w:color="FFFF00"/>
          </w:rPr>
          <w:t>1.1</w:t>
        </w:r>
        <w:r w:rsidR="0048596C">
          <w:rPr>
            <w:rFonts w:eastAsiaTheme="minorEastAsia" w:cstheme="minorBidi"/>
            <w:smallCaps w:val="0"/>
            <w:noProof/>
            <w:sz w:val="22"/>
            <w:szCs w:val="22"/>
            <w:lang w:eastAsia="en-GB" w:bidi="ar-SA"/>
          </w:rPr>
          <w:tab/>
        </w:r>
        <w:r w:rsidR="0048596C" w:rsidRPr="001329F8">
          <w:rPr>
            <w:rStyle w:val="Hyperlink"/>
            <w:noProof/>
            <w:u w:color="FFFF00"/>
          </w:rPr>
          <w:t xml:space="preserve">Reasons for </w:t>
        </w:r>
        <w:r w:rsidR="0048596C" w:rsidRPr="001329F8">
          <w:rPr>
            <w:rStyle w:val="Hyperlink"/>
            <w:noProof/>
          </w:rPr>
          <w:t>preparing the proposal</w:t>
        </w:r>
        <w:r w:rsidR="0048596C">
          <w:rPr>
            <w:noProof/>
            <w:webHidden/>
          </w:rPr>
          <w:tab/>
        </w:r>
        <w:r w:rsidR="0048596C">
          <w:rPr>
            <w:noProof/>
            <w:webHidden/>
          </w:rPr>
          <w:fldChar w:fldCharType="begin"/>
        </w:r>
        <w:r w:rsidR="0048596C">
          <w:rPr>
            <w:noProof/>
            <w:webHidden/>
          </w:rPr>
          <w:instrText xml:space="preserve"> PAGEREF _Toc94172641 \h </w:instrText>
        </w:r>
        <w:r w:rsidR="0048596C">
          <w:rPr>
            <w:noProof/>
            <w:webHidden/>
          </w:rPr>
        </w:r>
        <w:r w:rsidR="0048596C">
          <w:rPr>
            <w:noProof/>
            <w:webHidden/>
          </w:rPr>
          <w:fldChar w:fldCharType="separate"/>
        </w:r>
        <w:r>
          <w:rPr>
            <w:noProof/>
            <w:webHidden/>
          </w:rPr>
          <w:t>7</w:t>
        </w:r>
        <w:r w:rsidR="0048596C">
          <w:rPr>
            <w:noProof/>
            <w:webHidden/>
          </w:rPr>
          <w:fldChar w:fldCharType="end"/>
        </w:r>
      </w:hyperlink>
    </w:p>
    <w:p w14:paraId="78332A24" w14:textId="470AF47A"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42" w:history="1">
        <w:r w:rsidR="0048596C" w:rsidRPr="001329F8">
          <w:rPr>
            <w:rStyle w:val="Hyperlink"/>
            <w:noProof/>
            <w:u w:color="FFFF00"/>
          </w:rPr>
          <w:t>1.2</w:t>
        </w:r>
        <w:r w:rsidR="0048596C">
          <w:rPr>
            <w:rFonts w:eastAsiaTheme="minorEastAsia" w:cstheme="minorBidi"/>
            <w:smallCaps w:val="0"/>
            <w:noProof/>
            <w:sz w:val="22"/>
            <w:szCs w:val="22"/>
            <w:lang w:eastAsia="en-GB" w:bidi="ar-SA"/>
          </w:rPr>
          <w:tab/>
        </w:r>
        <w:r w:rsidR="0048596C" w:rsidRPr="001329F8">
          <w:rPr>
            <w:rStyle w:val="Hyperlink"/>
            <w:noProof/>
            <w:u w:color="FFFF00"/>
          </w:rPr>
          <w:t>Current arrangements</w:t>
        </w:r>
        <w:r w:rsidR="0048596C">
          <w:rPr>
            <w:noProof/>
            <w:webHidden/>
          </w:rPr>
          <w:tab/>
        </w:r>
        <w:r w:rsidR="0048596C">
          <w:rPr>
            <w:noProof/>
            <w:webHidden/>
          </w:rPr>
          <w:fldChar w:fldCharType="begin"/>
        </w:r>
        <w:r w:rsidR="0048596C">
          <w:rPr>
            <w:noProof/>
            <w:webHidden/>
          </w:rPr>
          <w:instrText xml:space="preserve"> PAGEREF _Toc94172642 \h </w:instrText>
        </w:r>
        <w:r w:rsidR="0048596C">
          <w:rPr>
            <w:noProof/>
            <w:webHidden/>
          </w:rPr>
        </w:r>
        <w:r w:rsidR="0048596C">
          <w:rPr>
            <w:noProof/>
            <w:webHidden/>
          </w:rPr>
          <w:fldChar w:fldCharType="separate"/>
        </w:r>
        <w:r>
          <w:rPr>
            <w:noProof/>
            <w:webHidden/>
          </w:rPr>
          <w:t>7</w:t>
        </w:r>
        <w:r w:rsidR="0048596C">
          <w:rPr>
            <w:noProof/>
            <w:webHidden/>
          </w:rPr>
          <w:fldChar w:fldCharType="end"/>
        </w:r>
      </w:hyperlink>
    </w:p>
    <w:p w14:paraId="5DE4AD6C" w14:textId="7C48FA4A"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43" w:history="1">
        <w:r w:rsidR="0048596C" w:rsidRPr="001329F8">
          <w:rPr>
            <w:rStyle w:val="Hyperlink"/>
            <w:noProof/>
          </w:rPr>
          <w:t>1.3</w:t>
        </w:r>
        <w:r w:rsidR="0048596C">
          <w:rPr>
            <w:rFonts w:eastAsiaTheme="minorEastAsia" w:cstheme="minorBidi"/>
            <w:smallCaps w:val="0"/>
            <w:noProof/>
            <w:sz w:val="22"/>
            <w:szCs w:val="22"/>
            <w:lang w:eastAsia="en-GB" w:bidi="ar-SA"/>
          </w:rPr>
          <w:tab/>
        </w:r>
        <w:r w:rsidR="0048596C" w:rsidRPr="001329F8">
          <w:rPr>
            <w:rStyle w:val="Hyperlink"/>
            <w:noProof/>
          </w:rPr>
          <w:t>Procedure for assessment</w:t>
        </w:r>
        <w:r w:rsidR="0048596C">
          <w:rPr>
            <w:noProof/>
            <w:webHidden/>
          </w:rPr>
          <w:tab/>
        </w:r>
        <w:r w:rsidR="0048596C">
          <w:rPr>
            <w:noProof/>
            <w:webHidden/>
          </w:rPr>
          <w:fldChar w:fldCharType="begin"/>
        </w:r>
        <w:r w:rsidR="0048596C">
          <w:rPr>
            <w:noProof/>
            <w:webHidden/>
          </w:rPr>
          <w:instrText xml:space="preserve"> PAGEREF _Toc94172643 \h </w:instrText>
        </w:r>
        <w:r w:rsidR="0048596C">
          <w:rPr>
            <w:noProof/>
            <w:webHidden/>
          </w:rPr>
        </w:r>
        <w:r w:rsidR="0048596C">
          <w:rPr>
            <w:noProof/>
            <w:webHidden/>
          </w:rPr>
          <w:fldChar w:fldCharType="separate"/>
        </w:r>
        <w:r>
          <w:rPr>
            <w:noProof/>
            <w:webHidden/>
          </w:rPr>
          <w:t>7</w:t>
        </w:r>
        <w:r w:rsidR="0048596C">
          <w:rPr>
            <w:noProof/>
            <w:webHidden/>
          </w:rPr>
          <w:fldChar w:fldCharType="end"/>
        </w:r>
      </w:hyperlink>
    </w:p>
    <w:p w14:paraId="28DDFC4D" w14:textId="024C806A"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44" w:history="1">
        <w:r w:rsidR="0048596C" w:rsidRPr="001329F8">
          <w:rPr>
            <w:rStyle w:val="Hyperlink"/>
            <w:noProof/>
            <w:lang w:eastAsia="en-AU"/>
          </w:rPr>
          <w:t>1.4</w:t>
        </w:r>
        <w:r w:rsidR="0048596C">
          <w:rPr>
            <w:rFonts w:eastAsiaTheme="minorEastAsia" w:cstheme="minorBidi"/>
            <w:smallCaps w:val="0"/>
            <w:noProof/>
            <w:sz w:val="22"/>
            <w:szCs w:val="22"/>
            <w:lang w:eastAsia="en-GB" w:bidi="ar-SA"/>
          </w:rPr>
          <w:tab/>
        </w:r>
        <w:r w:rsidR="0048596C" w:rsidRPr="001329F8">
          <w:rPr>
            <w:rStyle w:val="Hyperlink"/>
            <w:noProof/>
            <w:lang w:eastAsia="en-AU"/>
          </w:rPr>
          <w:t>Scope of the proposal</w:t>
        </w:r>
        <w:r w:rsidR="0048596C">
          <w:rPr>
            <w:noProof/>
            <w:webHidden/>
          </w:rPr>
          <w:tab/>
        </w:r>
        <w:r w:rsidR="0048596C">
          <w:rPr>
            <w:noProof/>
            <w:webHidden/>
          </w:rPr>
          <w:fldChar w:fldCharType="begin"/>
        </w:r>
        <w:r w:rsidR="0048596C">
          <w:rPr>
            <w:noProof/>
            <w:webHidden/>
          </w:rPr>
          <w:instrText xml:space="preserve"> PAGEREF _Toc94172644 \h </w:instrText>
        </w:r>
        <w:r w:rsidR="0048596C">
          <w:rPr>
            <w:noProof/>
            <w:webHidden/>
          </w:rPr>
        </w:r>
        <w:r w:rsidR="0048596C">
          <w:rPr>
            <w:noProof/>
            <w:webHidden/>
          </w:rPr>
          <w:fldChar w:fldCharType="separate"/>
        </w:r>
        <w:r>
          <w:rPr>
            <w:noProof/>
            <w:webHidden/>
          </w:rPr>
          <w:t>7</w:t>
        </w:r>
        <w:r w:rsidR="0048596C">
          <w:rPr>
            <w:noProof/>
            <w:webHidden/>
          </w:rPr>
          <w:fldChar w:fldCharType="end"/>
        </w:r>
      </w:hyperlink>
    </w:p>
    <w:p w14:paraId="6724D74F" w14:textId="7C9F0692"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45" w:history="1">
        <w:r w:rsidR="0048596C" w:rsidRPr="001329F8">
          <w:rPr>
            <w:rStyle w:val="Hyperlink"/>
            <w:noProof/>
          </w:rPr>
          <w:t>2</w:t>
        </w:r>
        <w:r w:rsidR="0048596C">
          <w:rPr>
            <w:rFonts w:eastAsiaTheme="minorEastAsia" w:cstheme="minorBidi"/>
            <w:b w:val="0"/>
            <w:bCs w:val="0"/>
            <w:caps w:val="0"/>
            <w:noProof/>
            <w:sz w:val="22"/>
            <w:szCs w:val="22"/>
            <w:lang w:eastAsia="en-GB" w:bidi="ar-SA"/>
          </w:rPr>
          <w:tab/>
        </w:r>
        <w:r w:rsidR="0048596C" w:rsidRPr="001329F8">
          <w:rPr>
            <w:rStyle w:val="Hyperlink"/>
            <w:noProof/>
          </w:rPr>
          <w:t>Background</w:t>
        </w:r>
        <w:r w:rsidR="0048596C">
          <w:rPr>
            <w:noProof/>
            <w:webHidden/>
          </w:rPr>
          <w:tab/>
        </w:r>
        <w:r w:rsidR="0048596C">
          <w:rPr>
            <w:noProof/>
            <w:webHidden/>
          </w:rPr>
          <w:fldChar w:fldCharType="begin"/>
        </w:r>
        <w:r w:rsidR="0048596C">
          <w:rPr>
            <w:noProof/>
            <w:webHidden/>
          </w:rPr>
          <w:instrText xml:space="preserve"> PAGEREF _Toc94172645 \h </w:instrText>
        </w:r>
        <w:r w:rsidR="0048596C">
          <w:rPr>
            <w:noProof/>
            <w:webHidden/>
          </w:rPr>
        </w:r>
        <w:r w:rsidR="0048596C">
          <w:rPr>
            <w:noProof/>
            <w:webHidden/>
          </w:rPr>
          <w:fldChar w:fldCharType="separate"/>
        </w:r>
        <w:r>
          <w:rPr>
            <w:noProof/>
            <w:webHidden/>
          </w:rPr>
          <w:t>8</w:t>
        </w:r>
        <w:r w:rsidR="0048596C">
          <w:rPr>
            <w:noProof/>
            <w:webHidden/>
          </w:rPr>
          <w:fldChar w:fldCharType="end"/>
        </w:r>
      </w:hyperlink>
    </w:p>
    <w:p w14:paraId="0B64DA87" w14:textId="5C15EA6D"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46" w:history="1">
        <w:r w:rsidR="0048596C" w:rsidRPr="001329F8">
          <w:rPr>
            <w:rStyle w:val="Hyperlink"/>
            <w:noProof/>
          </w:rPr>
          <w:t>3</w:t>
        </w:r>
        <w:r w:rsidR="0048596C">
          <w:rPr>
            <w:rFonts w:eastAsiaTheme="minorEastAsia" w:cstheme="minorBidi"/>
            <w:b w:val="0"/>
            <w:bCs w:val="0"/>
            <w:caps w:val="0"/>
            <w:noProof/>
            <w:sz w:val="22"/>
            <w:szCs w:val="22"/>
            <w:lang w:eastAsia="en-GB" w:bidi="ar-SA"/>
          </w:rPr>
          <w:tab/>
        </w:r>
        <w:r w:rsidR="0048596C" w:rsidRPr="001329F8">
          <w:rPr>
            <w:rStyle w:val="Hyperlink"/>
            <w:noProof/>
          </w:rPr>
          <w:t>Risk assessment</w:t>
        </w:r>
        <w:r w:rsidR="0048596C">
          <w:rPr>
            <w:noProof/>
            <w:webHidden/>
          </w:rPr>
          <w:tab/>
        </w:r>
        <w:r w:rsidR="0048596C">
          <w:rPr>
            <w:noProof/>
            <w:webHidden/>
          </w:rPr>
          <w:fldChar w:fldCharType="begin"/>
        </w:r>
        <w:r w:rsidR="0048596C">
          <w:rPr>
            <w:noProof/>
            <w:webHidden/>
          </w:rPr>
          <w:instrText xml:space="preserve"> PAGEREF _Toc94172646 \h </w:instrText>
        </w:r>
        <w:r w:rsidR="0048596C">
          <w:rPr>
            <w:noProof/>
            <w:webHidden/>
          </w:rPr>
        </w:r>
        <w:r w:rsidR="0048596C">
          <w:rPr>
            <w:noProof/>
            <w:webHidden/>
          </w:rPr>
          <w:fldChar w:fldCharType="separate"/>
        </w:r>
        <w:r>
          <w:rPr>
            <w:noProof/>
            <w:webHidden/>
          </w:rPr>
          <w:t>10</w:t>
        </w:r>
        <w:r w:rsidR="0048596C">
          <w:rPr>
            <w:noProof/>
            <w:webHidden/>
          </w:rPr>
          <w:fldChar w:fldCharType="end"/>
        </w:r>
      </w:hyperlink>
    </w:p>
    <w:p w14:paraId="372024F1" w14:textId="5EDB76FD"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47" w:history="1">
        <w:r w:rsidR="0048596C" w:rsidRPr="001329F8">
          <w:rPr>
            <w:rStyle w:val="Hyperlink"/>
            <w:noProof/>
          </w:rPr>
          <w:t>3.1</w:t>
        </w:r>
        <w:r w:rsidR="0048596C">
          <w:rPr>
            <w:rFonts w:eastAsiaTheme="minorEastAsia" w:cstheme="minorBidi"/>
            <w:smallCaps w:val="0"/>
            <w:noProof/>
            <w:sz w:val="22"/>
            <w:szCs w:val="22"/>
            <w:lang w:eastAsia="en-GB" w:bidi="ar-SA"/>
          </w:rPr>
          <w:tab/>
        </w:r>
        <w:r w:rsidR="0048596C" w:rsidRPr="001329F8">
          <w:rPr>
            <w:rStyle w:val="Hyperlink"/>
            <w:noProof/>
          </w:rPr>
          <w:t>Risk profiling of Australian food service and retail businesses</w:t>
        </w:r>
        <w:r w:rsidR="0048596C">
          <w:rPr>
            <w:noProof/>
            <w:webHidden/>
          </w:rPr>
          <w:tab/>
        </w:r>
        <w:r w:rsidR="0048596C">
          <w:rPr>
            <w:noProof/>
            <w:webHidden/>
          </w:rPr>
          <w:fldChar w:fldCharType="begin"/>
        </w:r>
        <w:r w:rsidR="0048596C">
          <w:rPr>
            <w:noProof/>
            <w:webHidden/>
          </w:rPr>
          <w:instrText xml:space="preserve"> PAGEREF _Toc94172647 \h </w:instrText>
        </w:r>
        <w:r w:rsidR="0048596C">
          <w:rPr>
            <w:noProof/>
            <w:webHidden/>
          </w:rPr>
        </w:r>
        <w:r w:rsidR="0048596C">
          <w:rPr>
            <w:noProof/>
            <w:webHidden/>
          </w:rPr>
          <w:fldChar w:fldCharType="separate"/>
        </w:r>
        <w:r>
          <w:rPr>
            <w:noProof/>
            <w:webHidden/>
          </w:rPr>
          <w:t>10</w:t>
        </w:r>
        <w:r w:rsidR="0048596C">
          <w:rPr>
            <w:noProof/>
            <w:webHidden/>
          </w:rPr>
          <w:fldChar w:fldCharType="end"/>
        </w:r>
      </w:hyperlink>
    </w:p>
    <w:p w14:paraId="6735F85B" w14:textId="14A5DEA0"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48" w:history="1">
        <w:r w:rsidR="0048596C" w:rsidRPr="001329F8">
          <w:rPr>
            <w:rStyle w:val="Hyperlink"/>
            <w:noProof/>
            <w:lang w:val="en-AU"/>
          </w:rPr>
          <w:t>3.2</w:t>
        </w:r>
        <w:r w:rsidR="0048596C">
          <w:rPr>
            <w:rFonts w:eastAsiaTheme="minorEastAsia" w:cstheme="minorBidi"/>
            <w:smallCaps w:val="0"/>
            <w:noProof/>
            <w:sz w:val="22"/>
            <w:szCs w:val="22"/>
            <w:lang w:eastAsia="en-GB" w:bidi="ar-SA"/>
          </w:rPr>
          <w:tab/>
        </w:r>
        <w:r w:rsidR="0048596C" w:rsidRPr="001329F8">
          <w:rPr>
            <w:rStyle w:val="Hyperlink"/>
            <w:noProof/>
            <w:lang w:val="en-AU"/>
          </w:rPr>
          <w:t>Outcomes of our assessment</w:t>
        </w:r>
        <w:r w:rsidR="0048596C">
          <w:rPr>
            <w:noProof/>
            <w:webHidden/>
          </w:rPr>
          <w:tab/>
        </w:r>
        <w:r w:rsidR="0048596C">
          <w:rPr>
            <w:noProof/>
            <w:webHidden/>
          </w:rPr>
          <w:fldChar w:fldCharType="begin"/>
        </w:r>
        <w:r w:rsidR="0048596C">
          <w:rPr>
            <w:noProof/>
            <w:webHidden/>
          </w:rPr>
          <w:instrText xml:space="preserve"> PAGEREF _Toc94172648 \h </w:instrText>
        </w:r>
        <w:r w:rsidR="0048596C">
          <w:rPr>
            <w:noProof/>
            <w:webHidden/>
          </w:rPr>
        </w:r>
        <w:r w:rsidR="0048596C">
          <w:rPr>
            <w:noProof/>
            <w:webHidden/>
          </w:rPr>
          <w:fldChar w:fldCharType="separate"/>
        </w:r>
        <w:r>
          <w:rPr>
            <w:noProof/>
            <w:webHidden/>
          </w:rPr>
          <w:t>11</w:t>
        </w:r>
        <w:r w:rsidR="0048596C">
          <w:rPr>
            <w:noProof/>
            <w:webHidden/>
          </w:rPr>
          <w:fldChar w:fldCharType="end"/>
        </w:r>
      </w:hyperlink>
    </w:p>
    <w:p w14:paraId="1C85ADDA" w14:textId="3800B8B4"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49" w:history="1">
        <w:r w:rsidR="0048596C" w:rsidRPr="001329F8">
          <w:rPr>
            <w:rStyle w:val="Hyperlink"/>
            <w:noProof/>
          </w:rPr>
          <w:t>3.2.1</w:t>
        </w:r>
        <w:r w:rsidR="0048596C">
          <w:rPr>
            <w:rFonts w:eastAsiaTheme="minorEastAsia" w:cstheme="minorBidi"/>
            <w:i w:val="0"/>
            <w:iCs w:val="0"/>
            <w:noProof/>
            <w:sz w:val="22"/>
            <w:szCs w:val="22"/>
            <w:lang w:eastAsia="en-GB" w:bidi="ar-SA"/>
          </w:rPr>
          <w:tab/>
        </w:r>
        <w:r w:rsidR="0048596C" w:rsidRPr="001329F8">
          <w:rPr>
            <w:rStyle w:val="Hyperlink"/>
            <w:noProof/>
          </w:rPr>
          <w:t>Review of OzFoodNet data</w:t>
        </w:r>
        <w:r w:rsidR="0048596C">
          <w:rPr>
            <w:noProof/>
            <w:webHidden/>
          </w:rPr>
          <w:tab/>
        </w:r>
        <w:r w:rsidR="0048596C">
          <w:rPr>
            <w:noProof/>
            <w:webHidden/>
          </w:rPr>
          <w:fldChar w:fldCharType="begin"/>
        </w:r>
        <w:r w:rsidR="0048596C">
          <w:rPr>
            <w:noProof/>
            <w:webHidden/>
          </w:rPr>
          <w:instrText xml:space="preserve"> PAGEREF _Toc94172649 \h </w:instrText>
        </w:r>
        <w:r w:rsidR="0048596C">
          <w:rPr>
            <w:noProof/>
            <w:webHidden/>
          </w:rPr>
        </w:r>
        <w:r w:rsidR="0048596C">
          <w:rPr>
            <w:noProof/>
            <w:webHidden/>
          </w:rPr>
          <w:fldChar w:fldCharType="separate"/>
        </w:r>
        <w:r>
          <w:rPr>
            <w:noProof/>
            <w:webHidden/>
          </w:rPr>
          <w:t>11</w:t>
        </w:r>
        <w:r w:rsidR="0048596C">
          <w:rPr>
            <w:noProof/>
            <w:webHidden/>
          </w:rPr>
          <w:fldChar w:fldCharType="end"/>
        </w:r>
      </w:hyperlink>
    </w:p>
    <w:p w14:paraId="4F6B4229" w14:textId="27176CD6"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50" w:history="1">
        <w:r w:rsidR="0048596C" w:rsidRPr="001329F8">
          <w:rPr>
            <w:rStyle w:val="Hyperlink"/>
            <w:noProof/>
          </w:rPr>
          <w:t>3.2.2</w:t>
        </w:r>
        <w:r w:rsidR="0048596C">
          <w:rPr>
            <w:rFonts w:eastAsiaTheme="minorEastAsia" w:cstheme="minorBidi"/>
            <w:i w:val="0"/>
            <w:iCs w:val="0"/>
            <w:noProof/>
            <w:sz w:val="22"/>
            <w:szCs w:val="22"/>
            <w:lang w:eastAsia="en-GB" w:bidi="ar-SA"/>
          </w:rPr>
          <w:tab/>
        </w:r>
        <w:r w:rsidR="0048596C" w:rsidRPr="001329F8">
          <w:rPr>
            <w:rStyle w:val="Hyperlink"/>
            <w:noProof/>
          </w:rPr>
          <w:t>Review of business sector classifications based on food safety risk</w:t>
        </w:r>
        <w:r w:rsidR="0048596C">
          <w:rPr>
            <w:noProof/>
            <w:webHidden/>
          </w:rPr>
          <w:tab/>
        </w:r>
        <w:r w:rsidR="0048596C">
          <w:rPr>
            <w:noProof/>
            <w:webHidden/>
          </w:rPr>
          <w:fldChar w:fldCharType="begin"/>
        </w:r>
        <w:r w:rsidR="0048596C">
          <w:rPr>
            <w:noProof/>
            <w:webHidden/>
          </w:rPr>
          <w:instrText xml:space="preserve"> PAGEREF _Toc94172650 \h </w:instrText>
        </w:r>
        <w:r w:rsidR="0048596C">
          <w:rPr>
            <w:noProof/>
            <w:webHidden/>
          </w:rPr>
        </w:r>
        <w:r w:rsidR="0048596C">
          <w:rPr>
            <w:noProof/>
            <w:webHidden/>
          </w:rPr>
          <w:fldChar w:fldCharType="separate"/>
        </w:r>
        <w:r>
          <w:rPr>
            <w:noProof/>
            <w:webHidden/>
          </w:rPr>
          <w:t>11</w:t>
        </w:r>
        <w:r w:rsidR="0048596C">
          <w:rPr>
            <w:noProof/>
            <w:webHidden/>
          </w:rPr>
          <w:fldChar w:fldCharType="end"/>
        </w:r>
      </w:hyperlink>
    </w:p>
    <w:p w14:paraId="60D6010D" w14:textId="3290B22B"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51" w:history="1">
        <w:r w:rsidR="0048596C" w:rsidRPr="001329F8">
          <w:rPr>
            <w:rStyle w:val="Hyperlink"/>
            <w:noProof/>
          </w:rPr>
          <w:t>3.2.3</w:t>
        </w:r>
        <w:r w:rsidR="0048596C">
          <w:rPr>
            <w:rFonts w:eastAsiaTheme="minorEastAsia" w:cstheme="minorBidi"/>
            <w:i w:val="0"/>
            <w:iCs w:val="0"/>
            <w:noProof/>
            <w:sz w:val="22"/>
            <w:szCs w:val="22"/>
            <w:lang w:eastAsia="en-GB" w:bidi="ar-SA"/>
          </w:rPr>
          <w:tab/>
        </w:r>
        <w:r w:rsidR="0048596C" w:rsidRPr="001329F8">
          <w:rPr>
            <w:rStyle w:val="Hyperlink"/>
            <w:noProof/>
          </w:rPr>
          <w:t>Priority categorisation of food handling activities</w:t>
        </w:r>
        <w:r w:rsidR="0048596C">
          <w:rPr>
            <w:noProof/>
            <w:webHidden/>
          </w:rPr>
          <w:tab/>
        </w:r>
        <w:r w:rsidR="0048596C">
          <w:rPr>
            <w:noProof/>
            <w:webHidden/>
          </w:rPr>
          <w:fldChar w:fldCharType="begin"/>
        </w:r>
        <w:r w:rsidR="0048596C">
          <w:rPr>
            <w:noProof/>
            <w:webHidden/>
          </w:rPr>
          <w:instrText xml:space="preserve"> PAGEREF _Toc94172651 \h </w:instrText>
        </w:r>
        <w:r w:rsidR="0048596C">
          <w:rPr>
            <w:noProof/>
            <w:webHidden/>
          </w:rPr>
        </w:r>
        <w:r w:rsidR="0048596C">
          <w:rPr>
            <w:noProof/>
            <w:webHidden/>
          </w:rPr>
          <w:fldChar w:fldCharType="separate"/>
        </w:r>
        <w:r>
          <w:rPr>
            <w:noProof/>
            <w:webHidden/>
          </w:rPr>
          <w:t>12</w:t>
        </w:r>
        <w:r w:rsidR="0048596C">
          <w:rPr>
            <w:noProof/>
            <w:webHidden/>
          </w:rPr>
          <w:fldChar w:fldCharType="end"/>
        </w:r>
      </w:hyperlink>
    </w:p>
    <w:p w14:paraId="0CF3279E" w14:textId="21939533"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52" w:history="1">
        <w:r w:rsidR="0048596C" w:rsidRPr="001329F8">
          <w:rPr>
            <w:rStyle w:val="Hyperlink"/>
            <w:noProof/>
          </w:rPr>
          <w:t>3.2.4</w:t>
        </w:r>
        <w:r w:rsidR="0048596C">
          <w:rPr>
            <w:rFonts w:eastAsiaTheme="minorEastAsia" w:cstheme="minorBidi"/>
            <w:i w:val="0"/>
            <w:iCs w:val="0"/>
            <w:noProof/>
            <w:sz w:val="22"/>
            <w:szCs w:val="22"/>
            <w:lang w:eastAsia="en-GB" w:bidi="ar-SA"/>
          </w:rPr>
          <w:tab/>
        </w:r>
        <w:r w:rsidR="0048596C" w:rsidRPr="001329F8">
          <w:rPr>
            <w:rStyle w:val="Hyperlink"/>
            <w:noProof/>
          </w:rPr>
          <w:t>Conclusion</w:t>
        </w:r>
        <w:r w:rsidR="0048596C">
          <w:rPr>
            <w:noProof/>
            <w:webHidden/>
          </w:rPr>
          <w:tab/>
        </w:r>
        <w:r w:rsidR="0048596C">
          <w:rPr>
            <w:noProof/>
            <w:webHidden/>
          </w:rPr>
          <w:fldChar w:fldCharType="begin"/>
        </w:r>
        <w:r w:rsidR="0048596C">
          <w:rPr>
            <w:noProof/>
            <w:webHidden/>
          </w:rPr>
          <w:instrText xml:space="preserve"> PAGEREF _Toc94172652 \h </w:instrText>
        </w:r>
        <w:r w:rsidR="0048596C">
          <w:rPr>
            <w:noProof/>
            <w:webHidden/>
          </w:rPr>
        </w:r>
        <w:r w:rsidR="0048596C">
          <w:rPr>
            <w:noProof/>
            <w:webHidden/>
          </w:rPr>
          <w:fldChar w:fldCharType="separate"/>
        </w:r>
        <w:r>
          <w:rPr>
            <w:noProof/>
            <w:webHidden/>
          </w:rPr>
          <w:t>13</w:t>
        </w:r>
        <w:r w:rsidR="0048596C">
          <w:rPr>
            <w:noProof/>
            <w:webHidden/>
          </w:rPr>
          <w:fldChar w:fldCharType="end"/>
        </w:r>
      </w:hyperlink>
    </w:p>
    <w:p w14:paraId="67438E58" w14:textId="753957D3"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53" w:history="1">
        <w:r w:rsidR="0048596C" w:rsidRPr="001329F8">
          <w:rPr>
            <w:rStyle w:val="Hyperlink"/>
            <w:noProof/>
          </w:rPr>
          <w:t>4</w:t>
        </w:r>
        <w:r w:rsidR="0048596C">
          <w:rPr>
            <w:rFonts w:eastAsiaTheme="minorEastAsia" w:cstheme="minorBidi"/>
            <w:b w:val="0"/>
            <w:bCs w:val="0"/>
            <w:caps w:val="0"/>
            <w:noProof/>
            <w:sz w:val="22"/>
            <w:szCs w:val="22"/>
            <w:lang w:eastAsia="en-GB" w:bidi="ar-SA"/>
          </w:rPr>
          <w:tab/>
        </w:r>
        <w:r w:rsidR="0048596C" w:rsidRPr="001329F8">
          <w:rPr>
            <w:rStyle w:val="Hyperlink"/>
            <w:noProof/>
          </w:rPr>
          <w:t>Risk management</w:t>
        </w:r>
        <w:r w:rsidR="0048596C">
          <w:rPr>
            <w:noProof/>
            <w:webHidden/>
          </w:rPr>
          <w:tab/>
        </w:r>
        <w:r w:rsidR="0048596C">
          <w:rPr>
            <w:noProof/>
            <w:webHidden/>
          </w:rPr>
          <w:fldChar w:fldCharType="begin"/>
        </w:r>
        <w:r w:rsidR="0048596C">
          <w:rPr>
            <w:noProof/>
            <w:webHidden/>
          </w:rPr>
          <w:instrText xml:space="preserve"> PAGEREF _Toc94172653 \h </w:instrText>
        </w:r>
        <w:r w:rsidR="0048596C">
          <w:rPr>
            <w:noProof/>
            <w:webHidden/>
          </w:rPr>
        </w:r>
        <w:r w:rsidR="0048596C">
          <w:rPr>
            <w:noProof/>
            <w:webHidden/>
          </w:rPr>
          <w:fldChar w:fldCharType="separate"/>
        </w:r>
        <w:r>
          <w:rPr>
            <w:noProof/>
            <w:webHidden/>
          </w:rPr>
          <w:t>14</w:t>
        </w:r>
        <w:r w:rsidR="0048596C">
          <w:rPr>
            <w:noProof/>
            <w:webHidden/>
          </w:rPr>
          <w:fldChar w:fldCharType="end"/>
        </w:r>
      </w:hyperlink>
    </w:p>
    <w:p w14:paraId="25B8BDC8" w14:textId="5E79C1F2"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54" w:history="1">
        <w:r w:rsidR="0048596C" w:rsidRPr="001329F8">
          <w:rPr>
            <w:rStyle w:val="Hyperlink"/>
            <w:noProof/>
          </w:rPr>
          <w:t>4.1</w:t>
        </w:r>
        <w:r w:rsidR="0048596C">
          <w:rPr>
            <w:rFonts w:eastAsiaTheme="minorEastAsia" w:cstheme="minorBidi"/>
            <w:smallCaps w:val="0"/>
            <w:noProof/>
            <w:sz w:val="22"/>
            <w:szCs w:val="22"/>
            <w:lang w:eastAsia="en-GB" w:bidi="ar-SA"/>
          </w:rPr>
          <w:tab/>
        </w:r>
        <w:r w:rsidR="0048596C" w:rsidRPr="001329F8">
          <w:rPr>
            <w:rStyle w:val="Hyperlink"/>
            <w:noProof/>
          </w:rPr>
          <w:t>Principles</w:t>
        </w:r>
        <w:r w:rsidR="0048596C">
          <w:rPr>
            <w:noProof/>
            <w:webHidden/>
          </w:rPr>
          <w:tab/>
        </w:r>
        <w:r w:rsidR="0048596C">
          <w:rPr>
            <w:noProof/>
            <w:webHidden/>
          </w:rPr>
          <w:fldChar w:fldCharType="begin"/>
        </w:r>
        <w:r w:rsidR="0048596C">
          <w:rPr>
            <w:noProof/>
            <w:webHidden/>
          </w:rPr>
          <w:instrText xml:space="preserve"> PAGEREF _Toc94172654 \h </w:instrText>
        </w:r>
        <w:r w:rsidR="0048596C">
          <w:rPr>
            <w:noProof/>
            <w:webHidden/>
          </w:rPr>
        </w:r>
        <w:r w:rsidR="0048596C">
          <w:rPr>
            <w:noProof/>
            <w:webHidden/>
          </w:rPr>
          <w:fldChar w:fldCharType="separate"/>
        </w:r>
        <w:r>
          <w:rPr>
            <w:noProof/>
            <w:webHidden/>
          </w:rPr>
          <w:t>14</w:t>
        </w:r>
        <w:r w:rsidR="0048596C">
          <w:rPr>
            <w:noProof/>
            <w:webHidden/>
          </w:rPr>
          <w:fldChar w:fldCharType="end"/>
        </w:r>
      </w:hyperlink>
    </w:p>
    <w:p w14:paraId="3B556624" w14:textId="5AC2FD7A"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55" w:history="1">
        <w:r w:rsidR="0048596C" w:rsidRPr="001329F8">
          <w:rPr>
            <w:rStyle w:val="Hyperlink"/>
            <w:noProof/>
          </w:rPr>
          <w:t>4.2</w:t>
        </w:r>
        <w:r w:rsidR="0048596C">
          <w:rPr>
            <w:rFonts w:eastAsiaTheme="minorEastAsia" w:cstheme="minorBidi"/>
            <w:smallCaps w:val="0"/>
            <w:noProof/>
            <w:sz w:val="22"/>
            <w:szCs w:val="22"/>
            <w:lang w:eastAsia="en-GB" w:bidi="ar-SA"/>
          </w:rPr>
          <w:tab/>
        </w:r>
        <w:r w:rsidR="0048596C" w:rsidRPr="001329F8">
          <w:rPr>
            <w:rStyle w:val="Hyperlink"/>
            <w:noProof/>
          </w:rPr>
          <w:t>Food safety management tools</w:t>
        </w:r>
        <w:r w:rsidR="0048596C">
          <w:rPr>
            <w:noProof/>
            <w:webHidden/>
          </w:rPr>
          <w:tab/>
        </w:r>
        <w:r w:rsidR="0048596C">
          <w:rPr>
            <w:noProof/>
            <w:webHidden/>
          </w:rPr>
          <w:fldChar w:fldCharType="begin"/>
        </w:r>
        <w:r w:rsidR="0048596C">
          <w:rPr>
            <w:noProof/>
            <w:webHidden/>
          </w:rPr>
          <w:instrText xml:space="preserve"> PAGEREF _Toc94172655 \h </w:instrText>
        </w:r>
        <w:r w:rsidR="0048596C">
          <w:rPr>
            <w:noProof/>
            <w:webHidden/>
          </w:rPr>
        </w:r>
        <w:r w:rsidR="0048596C">
          <w:rPr>
            <w:noProof/>
            <w:webHidden/>
          </w:rPr>
          <w:fldChar w:fldCharType="separate"/>
        </w:r>
        <w:r>
          <w:rPr>
            <w:noProof/>
            <w:webHidden/>
          </w:rPr>
          <w:t>15</w:t>
        </w:r>
        <w:r w:rsidR="0048596C">
          <w:rPr>
            <w:noProof/>
            <w:webHidden/>
          </w:rPr>
          <w:fldChar w:fldCharType="end"/>
        </w:r>
      </w:hyperlink>
    </w:p>
    <w:p w14:paraId="563C4DAA" w14:textId="107815E3"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56" w:history="1">
        <w:r w:rsidR="0048596C" w:rsidRPr="001329F8">
          <w:rPr>
            <w:rStyle w:val="Hyperlink"/>
            <w:noProof/>
          </w:rPr>
          <w:t>4.3</w:t>
        </w:r>
        <w:r w:rsidR="0048596C">
          <w:rPr>
            <w:rFonts w:eastAsiaTheme="minorEastAsia" w:cstheme="minorBidi"/>
            <w:smallCaps w:val="0"/>
            <w:noProof/>
            <w:sz w:val="22"/>
            <w:szCs w:val="22"/>
            <w:lang w:eastAsia="en-GB" w:bidi="ar-SA"/>
          </w:rPr>
          <w:tab/>
        </w:r>
        <w:r w:rsidR="0048596C" w:rsidRPr="001329F8">
          <w:rPr>
            <w:rStyle w:val="Hyperlink"/>
            <w:noProof/>
          </w:rPr>
          <w:t>Stakeholder views</w:t>
        </w:r>
        <w:r w:rsidR="0048596C">
          <w:rPr>
            <w:noProof/>
            <w:webHidden/>
          </w:rPr>
          <w:tab/>
        </w:r>
        <w:r w:rsidR="0048596C">
          <w:rPr>
            <w:noProof/>
            <w:webHidden/>
          </w:rPr>
          <w:fldChar w:fldCharType="begin"/>
        </w:r>
        <w:r w:rsidR="0048596C">
          <w:rPr>
            <w:noProof/>
            <w:webHidden/>
          </w:rPr>
          <w:instrText xml:space="preserve"> PAGEREF _Toc94172656 \h </w:instrText>
        </w:r>
        <w:r w:rsidR="0048596C">
          <w:rPr>
            <w:noProof/>
            <w:webHidden/>
          </w:rPr>
        </w:r>
        <w:r w:rsidR="0048596C">
          <w:rPr>
            <w:noProof/>
            <w:webHidden/>
          </w:rPr>
          <w:fldChar w:fldCharType="separate"/>
        </w:r>
        <w:r>
          <w:rPr>
            <w:noProof/>
            <w:webHidden/>
          </w:rPr>
          <w:t>16</w:t>
        </w:r>
        <w:r w:rsidR="0048596C">
          <w:rPr>
            <w:noProof/>
            <w:webHidden/>
          </w:rPr>
          <w:fldChar w:fldCharType="end"/>
        </w:r>
      </w:hyperlink>
    </w:p>
    <w:p w14:paraId="627C63BF" w14:textId="2B030863"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57" w:history="1">
        <w:r w:rsidR="0048596C" w:rsidRPr="001329F8">
          <w:rPr>
            <w:rStyle w:val="Hyperlink"/>
            <w:noProof/>
          </w:rPr>
          <w:t>4.4</w:t>
        </w:r>
        <w:r w:rsidR="0048596C">
          <w:rPr>
            <w:rFonts w:eastAsiaTheme="minorEastAsia" w:cstheme="minorBidi"/>
            <w:smallCaps w:val="0"/>
            <w:noProof/>
            <w:sz w:val="22"/>
            <w:szCs w:val="22"/>
            <w:lang w:eastAsia="en-GB" w:bidi="ar-SA"/>
          </w:rPr>
          <w:tab/>
        </w:r>
        <w:r w:rsidR="0048596C" w:rsidRPr="001329F8">
          <w:rPr>
            <w:rStyle w:val="Hyperlink"/>
            <w:noProof/>
          </w:rPr>
          <w:t>Risk management options</w:t>
        </w:r>
        <w:r w:rsidR="0048596C">
          <w:rPr>
            <w:noProof/>
            <w:webHidden/>
          </w:rPr>
          <w:tab/>
        </w:r>
        <w:r w:rsidR="0048596C">
          <w:rPr>
            <w:noProof/>
            <w:webHidden/>
          </w:rPr>
          <w:fldChar w:fldCharType="begin"/>
        </w:r>
        <w:r w:rsidR="0048596C">
          <w:rPr>
            <w:noProof/>
            <w:webHidden/>
          </w:rPr>
          <w:instrText xml:space="preserve"> PAGEREF _Toc94172657 \h </w:instrText>
        </w:r>
        <w:r w:rsidR="0048596C">
          <w:rPr>
            <w:noProof/>
            <w:webHidden/>
          </w:rPr>
        </w:r>
        <w:r w:rsidR="0048596C">
          <w:rPr>
            <w:noProof/>
            <w:webHidden/>
          </w:rPr>
          <w:fldChar w:fldCharType="separate"/>
        </w:r>
        <w:r>
          <w:rPr>
            <w:noProof/>
            <w:webHidden/>
          </w:rPr>
          <w:t>17</w:t>
        </w:r>
        <w:r w:rsidR="0048596C">
          <w:rPr>
            <w:noProof/>
            <w:webHidden/>
          </w:rPr>
          <w:fldChar w:fldCharType="end"/>
        </w:r>
      </w:hyperlink>
    </w:p>
    <w:p w14:paraId="590B934A" w14:textId="0A3B6E7C"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58" w:history="1">
        <w:r w:rsidR="0048596C" w:rsidRPr="001329F8">
          <w:rPr>
            <w:rStyle w:val="Hyperlink"/>
            <w:noProof/>
          </w:rPr>
          <w:t>4.5</w:t>
        </w:r>
        <w:r w:rsidR="0048596C">
          <w:rPr>
            <w:rFonts w:eastAsiaTheme="minorEastAsia" w:cstheme="minorBidi"/>
            <w:smallCaps w:val="0"/>
            <w:noProof/>
            <w:sz w:val="22"/>
            <w:szCs w:val="22"/>
            <w:lang w:eastAsia="en-GB" w:bidi="ar-SA"/>
          </w:rPr>
          <w:tab/>
        </w:r>
        <w:r w:rsidR="0048596C" w:rsidRPr="001329F8">
          <w:rPr>
            <w:rStyle w:val="Hyperlink"/>
            <w:noProof/>
          </w:rPr>
          <w:t>Preferred approach</w:t>
        </w:r>
        <w:r w:rsidR="0048596C">
          <w:rPr>
            <w:noProof/>
            <w:webHidden/>
          </w:rPr>
          <w:tab/>
        </w:r>
        <w:r w:rsidR="0048596C">
          <w:rPr>
            <w:noProof/>
            <w:webHidden/>
          </w:rPr>
          <w:fldChar w:fldCharType="begin"/>
        </w:r>
        <w:r w:rsidR="0048596C">
          <w:rPr>
            <w:noProof/>
            <w:webHidden/>
          </w:rPr>
          <w:instrText xml:space="preserve"> PAGEREF _Toc94172658 \h </w:instrText>
        </w:r>
        <w:r w:rsidR="0048596C">
          <w:rPr>
            <w:noProof/>
            <w:webHidden/>
          </w:rPr>
        </w:r>
        <w:r w:rsidR="0048596C">
          <w:rPr>
            <w:noProof/>
            <w:webHidden/>
          </w:rPr>
          <w:fldChar w:fldCharType="separate"/>
        </w:r>
        <w:r>
          <w:rPr>
            <w:noProof/>
            <w:webHidden/>
          </w:rPr>
          <w:t>17</w:t>
        </w:r>
        <w:r w:rsidR="0048596C">
          <w:rPr>
            <w:noProof/>
            <w:webHidden/>
          </w:rPr>
          <w:fldChar w:fldCharType="end"/>
        </w:r>
      </w:hyperlink>
    </w:p>
    <w:p w14:paraId="2C1E7638" w14:textId="17B0EDF6"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59" w:history="1">
        <w:r w:rsidR="0048596C" w:rsidRPr="001329F8">
          <w:rPr>
            <w:rStyle w:val="Hyperlink"/>
            <w:noProof/>
          </w:rPr>
          <w:t>4.6</w:t>
        </w:r>
        <w:r w:rsidR="0048596C">
          <w:rPr>
            <w:rFonts w:eastAsiaTheme="minorEastAsia" w:cstheme="minorBidi"/>
            <w:smallCaps w:val="0"/>
            <w:noProof/>
            <w:sz w:val="22"/>
            <w:szCs w:val="22"/>
            <w:lang w:eastAsia="en-GB" w:bidi="ar-SA"/>
          </w:rPr>
          <w:tab/>
        </w:r>
        <w:r w:rsidR="0048596C" w:rsidRPr="001329F8">
          <w:rPr>
            <w:rStyle w:val="Hyperlink"/>
            <w:noProof/>
          </w:rPr>
          <w:t>Not-for-profit organisations and fund raising events</w:t>
        </w:r>
        <w:r w:rsidR="0048596C">
          <w:rPr>
            <w:noProof/>
            <w:webHidden/>
          </w:rPr>
          <w:tab/>
        </w:r>
        <w:r w:rsidR="0048596C">
          <w:rPr>
            <w:noProof/>
            <w:webHidden/>
          </w:rPr>
          <w:fldChar w:fldCharType="begin"/>
        </w:r>
        <w:r w:rsidR="0048596C">
          <w:rPr>
            <w:noProof/>
            <w:webHidden/>
          </w:rPr>
          <w:instrText xml:space="preserve"> PAGEREF _Toc94172659 \h </w:instrText>
        </w:r>
        <w:r w:rsidR="0048596C">
          <w:rPr>
            <w:noProof/>
            <w:webHidden/>
          </w:rPr>
        </w:r>
        <w:r w:rsidR="0048596C">
          <w:rPr>
            <w:noProof/>
            <w:webHidden/>
          </w:rPr>
          <w:fldChar w:fldCharType="separate"/>
        </w:r>
        <w:r>
          <w:rPr>
            <w:noProof/>
            <w:webHidden/>
          </w:rPr>
          <w:t>19</w:t>
        </w:r>
        <w:r w:rsidR="0048596C">
          <w:rPr>
            <w:noProof/>
            <w:webHidden/>
          </w:rPr>
          <w:fldChar w:fldCharType="end"/>
        </w:r>
      </w:hyperlink>
    </w:p>
    <w:p w14:paraId="27AA113F" w14:textId="67B8C3DE"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60" w:history="1">
        <w:r w:rsidR="0048596C" w:rsidRPr="001329F8">
          <w:rPr>
            <w:rStyle w:val="Hyperlink"/>
            <w:noProof/>
          </w:rPr>
          <w:t>5</w:t>
        </w:r>
        <w:r w:rsidR="0048596C">
          <w:rPr>
            <w:rFonts w:eastAsiaTheme="minorEastAsia" w:cstheme="minorBidi"/>
            <w:b w:val="0"/>
            <w:bCs w:val="0"/>
            <w:caps w:val="0"/>
            <w:noProof/>
            <w:sz w:val="22"/>
            <w:szCs w:val="22"/>
            <w:lang w:eastAsia="en-GB" w:bidi="ar-SA"/>
          </w:rPr>
          <w:tab/>
        </w:r>
        <w:r w:rsidR="0048596C" w:rsidRPr="001329F8">
          <w:rPr>
            <w:rStyle w:val="Hyperlink"/>
            <w:noProof/>
          </w:rPr>
          <w:t>Risk communication</w:t>
        </w:r>
        <w:r w:rsidR="0048596C">
          <w:rPr>
            <w:noProof/>
            <w:webHidden/>
          </w:rPr>
          <w:tab/>
        </w:r>
        <w:r w:rsidR="0048596C">
          <w:rPr>
            <w:noProof/>
            <w:webHidden/>
          </w:rPr>
          <w:fldChar w:fldCharType="begin"/>
        </w:r>
        <w:r w:rsidR="0048596C">
          <w:rPr>
            <w:noProof/>
            <w:webHidden/>
          </w:rPr>
          <w:instrText xml:space="preserve"> PAGEREF _Toc94172660 \h </w:instrText>
        </w:r>
        <w:r w:rsidR="0048596C">
          <w:rPr>
            <w:noProof/>
            <w:webHidden/>
          </w:rPr>
        </w:r>
        <w:r w:rsidR="0048596C">
          <w:rPr>
            <w:noProof/>
            <w:webHidden/>
          </w:rPr>
          <w:fldChar w:fldCharType="separate"/>
        </w:r>
        <w:r>
          <w:rPr>
            <w:noProof/>
            <w:webHidden/>
          </w:rPr>
          <w:t>19</w:t>
        </w:r>
        <w:r w:rsidR="0048596C">
          <w:rPr>
            <w:noProof/>
            <w:webHidden/>
          </w:rPr>
          <w:fldChar w:fldCharType="end"/>
        </w:r>
      </w:hyperlink>
    </w:p>
    <w:p w14:paraId="42645BA1" w14:textId="28B889F2"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61" w:history="1">
        <w:r w:rsidR="0048596C" w:rsidRPr="001329F8">
          <w:rPr>
            <w:rStyle w:val="Hyperlink"/>
            <w:noProof/>
          </w:rPr>
          <w:t>5.1</w:t>
        </w:r>
        <w:r w:rsidR="0048596C">
          <w:rPr>
            <w:rFonts w:eastAsiaTheme="minorEastAsia" w:cstheme="minorBidi"/>
            <w:smallCaps w:val="0"/>
            <w:noProof/>
            <w:sz w:val="22"/>
            <w:szCs w:val="22"/>
            <w:lang w:eastAsia="en-GB" w:bidi="ar-SA"/>
          </w:rPr>
          <w:tab/>
        </w:r>
        <w:r w:rsidR="0048596C" w:rsidRPr="001329F8">
          <w:rPr>
            <w:rStyle w:val="Hyperlink"/>
            <w:noProof/>
          </w:rPr>
          <w:t>Consultation</w:t>
        </w:r>
        <w:r w:rsidR="0048596C">
          <w:rPr>
            <w:noProof/>
            <w:webHidden/>
          </w:rPr>
          <w:tab/>
        </w:r>
        <w:r w:rsidR="0048596C">
          <w:rPr>
            <w:noProof/>
            <w:webHidden/>
          </w:rPr>
          <w:fldChar w:fldCharType="begin"/>
        </w:r>
        <w:r w:rsidR="0048596C">
          <w:rPr>
            <w:noProof/>
            <w:webHidden/>
          </w:rPr>
          <w:instrText xml:space="preserve"> PAGEREF _Toc94172661 \h </w:instrText>
        </w:r>
        <w:r w:rsidR="0048596C">
          <w:rPr>
            <w:noProof/>
            <w:webHidden/>
          </w:rPr>
        </w:r>
        <w:r w:rsidR="0048596C">
          <w:rPr>
            <w:noProof/>
            <w:webHidden/>
          </w:rPr>
          <w:fldChar w:fldCharType="separate"/>
        </w:r>
        <w:r>
          <w:rPr>
            <w:noProof/>
            <w:webHidden/>
          </w:rPr>
          <w:t>19</w:t>
        </w:r>
        <w:r w:rsidR="0048596C">
          <w:rPr>
            <w:noProof/>
            <w:webHidden/>
          </w:rPr>
          <w:fldChar w:fldCharType="end"/>
        </w:r>
      </w:hyperlink>
    </w:p>
    <w:p w14:paraId="1F1BFCBE" w14:textId="30C2B588"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62" w:history="1">
        <w:r w:rsidR="0048596C" w:rsidRPr="001329F8">
          <w:rPr>
            <w:rStyle w:val="Hyperlink"/>
            <w:noProof/>
          </w:rPr>
          <w:t>5.2</w:t>
        </w:r>
        <w:r w:rsidR="0048596C">
          <w:rPr>
            <w:rFonts w:eastAsiaTheme="minorEastAsia" w:cstheme="minorBidi"/>
            <w:smallCaps w:val="0"/>
            <w:noProof/>
            <w:sz w:val="22"/>
            <w:szCs w:val="22"/>
            <w:lang w:eastAsia="en-GB" w:bidi="ar-SA"/>
          </w:rPr>
          <w:tab/>
        </w:r>
        <w:r w:rsidR="0048596C" w:rsidRPr="001329F8">
          <w:rPr>
            <w:rStyle w:val="Hyperlink"/>
            <w:noProof/>
          </w:rPr>
          <w:t>World Trade Organization (WTO)</w:t>
        </w:r>
        <w:r w:rsidR="0048596C">
          <w:rPr>
            <w:noProof/>
            <w:webHidden/>
          </w:rPr>
          <w:tab/>
        </w:r>
        <w:r w:rsidR="0048596C">
          <w:rPr>
            <w:noProof/>
            <w:webHidden/>
          </w:rPr>
          <w:fldChar w:fldCharType="begin"/>
        </w:r>
        <w:r w:rsidR="0048596C">
          <w:rPr>
            <w:noProof/>
            <w:webHidden/>
          </w:rPr>
          <w:instrText xml:space="preserve"> PAGEREF _Toc94172662 \h </w:instrText>
        </w:r>
        <w:r w:rsidR="0048596C">
          <w:rPr>
            <w:noProof/>
            <w:webHidden/>
          </w:rPr>
        </w:r>
        <w:r w:rsidR="0048596C">
          <w:rPr>
            <w:noProof/>
            <w:webHidden/>
          </w:rPr>
          <w:fldChar w:fldCharType="separate"/>
        </w:r>
        <w:r>
          <w:rPr>
            <w:noProof/>
            <w:webHidden/>
          </w:rPr>
          <w:t>20</w:t>
        </w:r>
        <w:r w:rsidR="0048596C">
          <w:rPr>
            <w:noProof/>
            <w:webHidden/>
          </w:rPr>
          <w:fldChar w:fldCharType="end"/>
        </w:r>
      </w:hyperlink>
    </w:p>
    <w:p w14:paraId="0FBBC2EB" w14:textId="76AB62BB"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63" w:history="1">
        <w:r w:rsidR="0048596C" w:rsidRPr="001329F8">
          <w:rPr>
            <w:rStyle w:val="Hyperlink"/>
            <w:noProof/>
          </w:rPr>
          <w:t>6</w:t>
        </w:r>
        <w:r w:rsidR="0048596C">
          <w:rPr>
            <w:rFonts w:eastAsiaTheme="minorEastAsia" w:cstheme="minorBidi"/>
            <w:b w:val="0"/>
            <w:bCs w:val="0"/>
            <w:caps w:val="0"/>
            <w:noProof/>
            <w:sz w:val="22"/>
            <w:szCs w:val="22"/>
            <w:lang w:eastAsia="en-GB" w:bidi="ar-SA"/>
          </w:rPr>
          <w:tab/>
        </w:r>
        <w:r w:rsidR="0048596C" w:rsidRPr="001329F8">
          <w:rPr>
            <w:rStyle w:val="Hyperlink"/>
            <w:noProof/>
          </w:rPr>
          <w:t>FSANZ Act assessment requirements</w:t>
        </w:r>
        <w:r w:rsidR="0048596C">
          <w:rPr>
            <w:noProof/>
            <w:webHidden/>
          </w:rPr>
          <w:tab/>
        </w:r>
        <w:r w:rsidR="0048596C">
          <w:rPr>
            <w:noProof/>
            <w:webHidden/>
          </w:rPr>
          <w:fldChar w:fldCharType="begin"/>
        </w:r>
        <w:r w:rsidR="0048596C">
          <w:rPr>
            <w:noProof/>
            <w:webHidden/>
          </w:rPr>
          <w:instrText xml:space="preserve"> PAGEREF _Toc94172663 \h </w:instrText>
        </w:r>
        <w:r w:rsidR="0048596C">
          <w:rPr>
            <w:noProof/>
            <w:webHidden/>
          </w:rPr>
        </w:r>
        <w:r w:rsidR="0048596C">
          <w:rPr>
            <w:noProof/>
            <w:webHidden/>
          </w:rPr>
          <w:fldChar w:fldCharType="separate"/>
        </w:r>
        <w:r>
          <w:rPr>
            <w:noProof/>
            <w:webHidden/>
          </w:rPr>
          <w:t>20</w:t>
        </w:r>
        <w:r w:rsidR="0048596C">
          <w:rPr>
            <w:noProof/>
            <w:webHidden/>
          </w:rPr>
          <w:fldChar w:fldCharType="end"/>
        </w:r>
      </w:hyperlink>
    </w:p>
    <w:p w14:paraId="31316632" w14:textId="60518146"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64" w:history="1">
        <w:r w:rsidR="0048596C" w:rsidRPr="001329F8">
          <w:rPr>
            <w:rStyle w:val="Hyperlink"/>
            <w:noProof/>
          </w:rPr>
          <w:t>6.1</w:t>
        </w:r>
        <w:r w:rsidR="0048596C">
          <w:rPr>
            <w:rFonts w:eastAsiaTheme="minorEastAsia" w:cstheme="minorBidi"/>
            <w:smallCaps w:val="0"/>
            <w:noProof/>
            <w:sz w:val="22"/>
            <w:szCs w:val="22"/>
            <w:lang w:eastAsia="en-GB" w:bidi="ar-SA"/>
          </w:rPr>
          <w:tab/>
        </w:r>
        <w:r w:rsidR="0048596C" w:rsidRPr="001329F8">
          <w:rPr>
            <w:rStyle w:val="Hyperlink"/>
            <w:noProof/>
          </w:rPr>
          <w:t>Section 59</w:t>
        </w:r>
        <w:r w:rsidR="0048596C">
          <w:rPr>
            <w:noProof/>
            <w:webHidden/>
          </w:rPr>
          <w:tab/>
        </w:r>
        <w:r w:rsidR="0048596C">
          <w:rPr>
            <w:noProof/>
            <w:webHidden/>
          </w:rPr>
          <w:fldChar w:fldCharType="begin"/>
        </w:r>
        <w:r w:rsidR="0048596C">
          <w:rPr>
            <w:noProof/>
            <w:webHidden/>
          </w:rPr>
          <w:instrText xml:space="preserve"> PAGEREF _Toc94172664 \h </w:instrText>
        </w:r>
        <w:r w:rsidR="0048596C">
          <w:rPr>
            <w:noProof/>
            <w:webHidden/>
          </w:rPr>
        </w:r>
        <w:r w:rsidR="0048596C">
          <w:rPr>
            <w:noProof/>
            <w:webHidden/>
          </w:rPr>
          <w:fldChar w:fldCharType="separate"/>
        </w:r>
        <w:r>
          <w:rPr>
            <w:noProof/>
            <w:webHidden/>
          </w:rPr>
          <w:t>20</w:t>
        </w:r>
        <w:r w:rsidR="0048596C">
          <w:rPr>
            <w:noProof/>
            <w:webHidden/>
          </w:rPr>
          <w:fldChar w:fldCharType="end"/>
        </w:r>
      </w:hyperlink>
    </w:p>
    <w:p w14:paraId="4F2A682D" w14:textId="757D63D0"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65" w:history="1">
        <w:r w:rsidR="0048596C" w:rsidRPr="001329F8">
          <w:rPr>
            <w:rStyle w:val="Hyperlink"/>
            <w:noProof/>
          </w:rPr>
          <w:t>6.1.1</w:t>
        </w:r>
        <w:r w:rsidR="0048596C">
          <w:rPr>
            <w:rFonts w:eastAsiaTheme="minorEastAsia" w:cstheme="minorBidi"/>
            <w:i w:val="0"/>
            <w:iCs w:val="0"/>
            <w:noProof/>
            <w:sz w:val="22"/>
            <w:szCs w:val="22"/>
            <w:lang w:eastAsia="en-GB" w:bidi="ar-SA"/>
          </w:rPr>
          <w:tab/>
        </w:r>
        <w:r w:rsidR="0048596C" w:rsidRPr="001329F8">
          <w:rPr>
            <w:rStyle w:val="Hyperlink"/>
            <w:noProof/>
          </w:rPr>
          <w:t>Consideration</w:t>
        </w:r>
        <w:r w:rsidR="0048596C" w:rsidRPr="001329F8">
          <w:rPr>
            <w:rStyle w:val="Hyperlink"/>
            <w:noProof/>
            <w:lang w:val="en-AU"/>
          </w:rPr>
          <w:t xml:space="preserve"> of costs and benefits</w:t>
        </w:r>
        <w:r w:rsidR="0048596C">
          <w:rPr>
            <w:noProof/>
            <w:webHidden/>
          </w:rPr>
          <w:tab/>
        </w:r>
        <w:r w:rsidR="0048596C">
          <w:rPr>
            <w:noProof/>
            <w:webHidden/>
          </w:rPr>
          <w:fldChar w:fldCharType="begin"/>
        </w:r>
        <w:r w:rsidR="0048596C">
          <w:rPr>
            <w:noProof/>
            <w:webHidden/>
          </w:rPr>
          <w:instrText xml:space="preserve"> PAGEREF _Toc94172665 \h </w:instrText>
        </w:r>
        <w:r w:rsidR="0048596C">
          <w:rPr>
            <w:noProof/>
            <w:webHidden/>
          </w:rPr>
        </w:r>
        <w:r w:rsidR="0048596C">
          <w:rPr>
            <w:noProof/>
            <w:webHidden/>
          </w:rPr>
          <w:fldChar w:fldCharType="separate"/>
        </w:r>
        <w:r>
          <w:rPr>
            <w:noProof/>
            <w:webHidden/>
          </w:rPr>
          <w:t>20</w:t>
        </w:r>
        <w:r w:rsidR="0048596C">
          <w:rPr>
            <w:noProof/>
            <w:webHidden/>
          </w:rPr>
          <w:fldChar w:fldCharType="end"/>
        </w:r>
      </w:hyperlink>
    </w:p>
    <w:p w14:paraId="28EB6249" w14:textId="34B1C717"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66" w:history="1">
        <w:r w:rsidR="0048596C" w:rsidRPr="001329F8">
          <w:rPr>
            <w:rStyle w:val="Hyperlink"/>
            <w:noProof/>
          </w:rPr>
          <w:t>6.1.2</w:t>
        </w:r>
        <w:r w:rsidR="0048596C">
          <w:rPr>
            <w:rFonts w:eastAsiaTheme="minorEastAsia" w:cstheme="minorBidi"/>
            <w:i w:val="0"/>
            <w:iCs w:val="0"/>
            <w:noProof/>
            <w:sz w:val="22"/>
            <w:szCs w:val="22"/>
            <w:lang w:eastAsia="en-GB" w:bidi="ar-SA"/>
          </w:rPr>
          <w:tab/>
        </w:r>
        <w:r w:rsidR="0048596C" w:rsidRPr="001329F8">
          <w:rPr>
            <w:rStyle w:val="Hyperlink"/>
            <w:noProof/>
          </w:rPr>
          <w:t>Other measures</w:t>
        </w:r>
        <w:r w:rsidR="0048596C">
          <w:rPr>
            <w:noProof/>
            <w:webHidden/>
          </w:rPr>
          <w:tab/>
        </w:r>
        <w:r w:rsidR="0048596C">
          <w:rPr>
            <w:noProof/>
            <w:webHidden/>
          </w:rPr>
          <w:fldChar w:fldCharType="begin"/>
        </w:r>
        <w:r w:rsidR="0048596C">
          <w:rPr>
            <w:noProof/>
            <w:webHidden/>
          </w:rPr>
          <w:instrText xml:space="preserve"> PAGEREF _Toc94172666 \h </w:instrText>
        </w:r>
        <w:r w:rsidR="0048596C">
          <w:rPr>
            <w:noProof/>
            <w:webHidden/>
          </w:rPr>
        </w:r>
        <w:r w:rsidR="0048596C">
          <w:rPr>
            <w:noProof/>
            <w:webHidden/>
          </w:rPr>
          <w:fldChar w:fldCharType="separate"/>
        </w:r>
        <w:r>
          <w:rPr>
            <w:noProof/>
            <w:webHidden/>
          </w:rPr>
          <w:t>21</w:t>
        </w:r>
        <w:r w:rsidR="0048596C">
          <w:rPr>
            <w:noProof/>
            <w:webHidden/>
          </w:rPr>
          <w:fldChar w:fldCharType="end"/>
        </w:r>
      </w:hyperlink>
    </w:p>
    <w:p w14:paraId="69265F7C" w14:textId="71D6E135"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67" w:history="1">
        <w:r w:rsidR="0048596C" w:rsidRPr="001329F8">
          <w:rPr>
            <w:rStyle w:val="Hyperlink"/>
            <w:noProof/>
          </w:rPr>
          <w:t>6.1.3</w:t>
        </w:r>
        <w:r w:rsidR="0048596C">
          <w:rPr>
            <w:rFonts w:eastAsiaTheme="minorEastAsia" w:cstheme="minorBidi"/>
            <w:i w:val="0"/>
            <w:iCs w:val="0"/>
            <w:noProof/>
            <w:sz w:val="22"/>
            <w:szCs w:val="22"/>
            <w:lang w:eastAsia="en-GB" w:bidi="ar-SA"/>
          </w:rPr>
          <w:tab/>
        </w:r>
        <w:r w:rsidR="0048596C" w:rsidRPr="001329F8">
          <w:rPr>
            <w:rStyle w:val="Hyperlink"/>
            <w:noProof/>
          </w:rPr>
          <w:t>Any relevant New Zealand standards</w:t>
        </w:r>
        <w:r w:rsidR="0048596C">
          <w:rPr>
            <w:noProof/>
            <w:webHidden/>
          </w:rPr>
          <w:tab/>
        </w:r>
        <w:r w:rsidR="0048596C">
          <w:rPr>
            <w:noProof/>
            <w:webHidden/>
          </w:rPr>
          <w:fldChar w:fldCharType="begin"/>
        </w:r>
        <w:r w:rsidR="0048596C">
          <w:rPr>
            <w:noProof/>
            <w:webHidden/>
          </w:rPr>
          <w:instrText xml:space="preserve"> PAGEREF _Toc94172667 \h </w:instrText>
        </w:r>
        <w:r w:rsidR="0048596C">
          <w:rPr>
            <w:noProof/>
            <w:webHidden/>
          </w:rPr>
        </w:r>
        <w:r w:rsidR="0048596C">
          <w:rPr>
            <w:noProof/>
            <w:webHidden/>
          </w:rPr>
          <w:fldChar w:fldCharType="separate"/>
        </w:r>
        <w:r>
          <w:rPr>
            <w:noProof/>
            <w:webHidden/>
          </w:rPr>
          <w:t>21</w:t>
        </w:r>
        <w:r w:rsidR="0048596C">
          <w:rPr>
            <w:noProof/>
            <w:webHidden/>
          </w:rPr>
          <w:fldChar w:fldCharType="end"/>
        </w:r>
      </w:hyperlink>
    </w:p>
    <w:p w14:paraId="002A1781" w14:textId="6FDE0C7F"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68" w:history="1">
        <w:r w:rsidR="0048596C" w:rsidRPr="001329F8">
          <w:rPr>
            <w:rStyle w:val="Hyperlink"/>
            <w:noProof/>
          </w:rPr>
          <w:t>6.1.4</w:t>
        </w:r>
        <w:r w:rsidR="0048596C">
          <w:rPr>
            <w:rFonts w:eastAsiaTheme="minorEastAsia" w:cstheme="minorBidi"/>
            <w:i w:val="0"/>
            <w:iCs w:val="0"/>
            <w:noProof/>
            <w:sz w:val="22"/>
            <w:szCs w:val="22"/>
            <w:lang w:eastAsia="en-GB" w:bidi="ar-SA"/>
          </w:rPr>
          <w:tab/>
        </w:r>
        <w:r w:rsidR="0048596C" w:rsidRPr="001329F8">
          <w:rPr>
            <w:rStyle w:val="Hyperlink"/>
            <w:noProof/>
          </w:rPr>
          <w:t>Any other relevant matters</w:t>
        </w:r>
        <w:r w:rsidR="0048596C">
          <w:rPr>
            <w:noProof/>
            <w:webHidden/>
          </w:rPr>
          <w:tab/>
        </w:r>
        <w:r w:rsidR="0048596C">
          <w:rPr>
            <w:noProof/>
            <w:webHidden/>
          </w:rPr>
          <w:fldChar w:fldCharType="begin"/>
        </w:r>
        <w:r w:rsidR="0048596C">
          <w:rPr>
            <w:noProof/>
            <w:webHidden/>
          </w:rPr>
          <w:instrText xml:space="preserve"> PAGEREF _Toc94172668 \h </w:instrText>
        </w:r>
        <w:r w:rsidR="0048596C">
          <w:rPr>
            <w:noProof/>
            <w:webHidden/>
          </w:rPr>
        </w:r>
        <w:r w:rsidR="0048596C">
          <w:rPr>
            <w:noProof/>
            <w:webHidden/>
          </w:rPr>
          <w:fldChar w:fldCharType="separate"/>
        </w:r>
        <w:r>
          <w:rPr>
            <w:noProof/>
            <w:webHidden/>
          </w:rPr>
          <w:t>21</w:t>
        </w:r>
        <w:r w:rsidR="0048596C">
          <w:rPr>
            <w:noProof/>
            <w:webHidden/>
          </w:rPr>
          <w:fldChar w:fldCharType="end"/>
        </w:r>
      </w:hyperlink>
    </w:p>
    <w:p w14:paraId="69D46236" w14:textId="6C546FA0"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69" w:history="1">
        <w:r w:rsidR="0048596C" w:rsidRPr="001329F8">
          <w:rPr>
            <w:rStyle w:val="Hyperlink"/>
            <w:noProof/>
          </w:rPr>
          <w:t>6.2</w:t>
        </w:r>
        <w:r w:rsidR="0048596C">
          <w:rPr>
            <w:rFonts w:eastAsiaTheme="minorEastAsia" w:cstheme="minorBidi"/>
            <w:smallCaps w:val="0"/>
            <w:noProof/>
            <w:sz w:val="22"/>
            <w:szCs w:val="22"/>
            <w:lang w:eastAsia="en-GB" w:bidi="ar-SA"/>
          </w:rPr>
          <w:tab/>
        </w:r>
        <w:r w:rsidR="0048596C" w:rsidRPr="001329F8">
          <w:rPr>
            <w:rStyle w:val="Hyperlink"/>
            <w:noProof/>
          </w:rPr>
          <w:t>Subsection 18(1)</w:t>
        </w:r>
        <w:r w:rsidR="0048596C">
          <w:rPr>
            <w:noProof/>
            <w:webHidden/>
          </w:rPr>
          <w:tab/>
        </w:r>
        <w:r w:rsidR="0048596C">
          <w:rPr>
            <w:noProof/>
            <w:webHidden/>
          </w:rPr>
          <w:fldChar w:fldCharType="begin"/>
        </w:r>
        <w:r w:rsidR="0048596C">
          <w:rPr>
            <w:noProof/>
            <w:webHidden/>
          </w:rPr>
          <w:instrText xml:space="preserve"> PAGEREF _Toc94172669 \h </w:instrText>
        </w:r>
        <w:r w:rsidR="0048596C">
          <w:rPr>
            <w:noProof/>
            <w:webHidden/>
          </w:rPr>
        </w:r>
        <w:r w:rsidR="0048596C">
          <w:rPr>
            <w:noProof/>
            <w:webHidden/>
          </w:rPr>
          <w:fldChar w:fldCharType="separate"/>
        </w:r>
        <w:r>
          <w:rPr>
            <w:noProof/>
            <w:webHidden/>
          </w:rPr>
          <w:t>22</w:t>
        </w:r>
        <w:r w:rsidR="0048596C">
          <w:rPr>
            <w:noProof/>
            <w:webHidden/>
          </w:rPr>
          <w:fldChar w:fldCharType="end"/>
        </w:r>
      </w:hyperlink>
    </w:p>
    <w:p w14:paraId="13C8B439" w14:textId="2A74FABE"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0" w:history="1">
        <w:r w:rsidR="0048596C" w:rsidRPr="001329F8">
          <w:rPr>
            <w:rStyle w:val="Hyperlink"/>
            <w:noProof/>
          </w:rPr>
          <w:t>6.2.1</w:t>
        </w:r>
        <w:r w:rsidR="0048596C">
          <w:rPr>
            <w:rFonts w:eastAsiaTheme="minorEastAsia" w:cstheme="minorBidi"/>
            <w:i w:val="0"/>
            <w:iCs w:val="0"/>
            <w:noProof/>
            <w:sz w:val="22"/>
            <w:szCs w:val="22"/>
            <w:lang w:eastAsia="en-GB" w:bidi="ar-SA"/>
          </w:rPr>
          <w:tab/>
        </w:r>
        <w:r w:rsidR="0048596C" w:rsidRPr="001329F8">
          <w:rPr>
            <w:rStyle w:val="Hyperlink"/>
            <w:noProof/>
          </w:rPr>
          <w:t>Protection of public health and safety</w:t>
        </w:r>
        <w:r w:rsidR="0048596C">
          <w:rPr>
            <w:noProof/>
            <w:webHidden/>
          </w:rPr>
          <w:tab/>
        </w:r>
        <w:r w:rsidR="0048596C">
          <w:rPr>
            <w:noProof/>
            <w:webHidden/>
          </w:rPr>
          <w:fldChar w:fldCharType="begin"/>
        </w:r>
        <w:r w:rsidR="0048596C">
          <w:rPr>
            <w:noProof/>
            <w:webHidden/>
          </w:rPr>
          <w:instrText xml:space="preserve"> PAGEREF _Toc94172670 \h </w:instrText>
        </w:r>
        <w:r w:rsidR="0048596C">
          <w:rPr>
            <w:noProof/>
            <w:webHidden/>
          </w:rPr>
        </w:r>
        <w:r w:rsidR="0048596C">
          <w:rPr>
            <w:noProof/>
            <w:webHidden/>
          </w:rPr>
          <w:fldChar w:fldCharType="separate"/>
        </w:r>
        <w:r>
          <w:rPr>
            <w:noProof/>
            <w:webHidden/>
          </w:rPr>
          <w:t>22</w:t>
        </w:r>
        <w:r w:rsidR="0048596C">
          <w:rPr>
            <w:noProof/>
            <w:webHidden/>
          </w:rPr>
          <w:fldChar w:fldCharType="end"/>
        </w:r>
      </w:hyperlink>
    </w:p>
    <w:p w14:paraId="15B6A136" w14:textId="530F0C3C"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1" w:history="1">
        <w:r w:rsidR="0048596C" w:rsidRPr="001329F8">
          <w:rPr>
            <w:rStyle w:val="Hyperlink"/>
            <w:noProof/>
          </w:rPr>
          <w:t>6.2.2</w:t>
        </w:r>
        <w:r w:rsidR="0048596C">
          <w:rPr>
            <w:rFonts w:eastAsiaTheme="minorEastAsia" w:cstheme="minorBidi"/>
            <w:i w:val="0"/>
            <w:iCs w:val="0"/>
            <w:noProof/>
            <w:sz w:val="22"/>
            <w:szCs w:val="22"/>
            <w:lang w:eastAsia="en-GB" w:bidi="ar-SA"/>
          </w:rPr>
          <w:tab/>
        </w:r>
        <w:r w:rsidR="0048596C" w:rsidRPr="001329F8">
          <w:rPr>
            <w:rStyle w:val="Hyperlink"/>
            <w:noProof/>
          </w:rPr>
          <w:t>The provision of adequate information relating to food to enable consumers to make informed choices</w:t>
        </w:r>
        <w:r w:rsidR="0048596C">
          <w:rPr>
            <w:noProof/>
            <w:webHidden/>
          </w:rPr>
          <w:tab/>
        </w:r>
        <w:r w:rsidR="0048596C">
          <w:rPr>
            <w:noProof/>
            <w:webHidden/>
          </w:rPr>
          <w:fldChar w:fldCharType="begin"/>
        </w:r>
        <w:r w:rsidR="0048596C">
          <w:rPr>
            <w:noProof/>
            <w:webHidden/>
          </w:rPr>
          <w:instrText xml:space="preserve"> PAGEREF _Toc94172671 \h </w:instrText>
        </w:r>
        <w:r w:rsidR="0048596C">
          <w:rPr>
            <w:noProof/>
            <w:webHidden/>
          </w:rPr>
        </w:r>
        <w:r w:rsidR="0048596C">
          <w:rPr>
            <w:noProof/>
            <w:webHidden/>
          </w:rPr>
          <w:fldChar w:fldCharType="separate"/>
        </w:r>
        <w:r>
          <w:rPr>
            <w:noProof/>
            <w:webHidden/>
          </w:rPr>
          <w:t>22</w:t>
        </w:r>
        <w:r w:rsidR="0048596C">
          <w:rPr>
            <w:noProof/>
            <w:webHidden/>
          </w:rPr>
          <w:fldChar w:fldCharType="end"/>
        </w:r>
      </w:hyperlink>
    </w:p>
    <w:p w14:paraId="1A53586E" w14:textId="75E18EF0"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2" w:history="1">
        <w:r w:rsidR="0048596C" w:rsidRPr="001329F8">
          <w:rPr>
            <w:rStyle w:val="Hyperlink"/>
            <w:noProof/>
          </w:rPr>
          <w:t>6.2.3</w:t>
        </w:r>
        <w:r w:rsidR="0048596C">
          <w:rPr>
            <w:rFonts w:eastAsiaTheme="minorEastAsia" w:cstheme="minorBidi"/>
            <w:i w:val="0"/>
            <w:iCs w:val="0"/>
            <w:noProof/>
            <w:sz w:val="22"/>
            <w:szCs w:val="22"/>
            <w:lang w:eastAsia="en-GB" w:bidi="ar-SA"/>
          </w:rPr>
          <w:tab/>
        </w:r>
        <w:r w:rsidR="0048596C" w:rsidRPr="001329F8">
          <w:rPr>
            <w:rStyle w:val="Hyperlink"/>
            <w:noProof/>
          </w:rPr>
          <w:t>The prevention of misleading or deceptive conduct</w:t>
        </w:r>
        <w:r w:rsidR="0048596C">
          <w:rPr>
            <w:noProof/>
            <w:webHidden/>
          </w:rPr>
          <w:tab/>
        </w:r>
        <w:r w:rsidR="0048596C">
          <w:rPr>
            <w:noProof/>
            <w:webHidden/>
          </w:rPr>
          <w:fldChar w:fldCharType="begin"/>
        </w:r>
        <w:r w:rsidR="0048596C">
          <w:rPr>
            <w:noProof/>
            <w:webHidden/>
          </w:rPr>
          <w:instrText xml:space="preserve"> PAGEREF _Toc94172672 \h </w:instrText>
        </w:r>
        <w:r w:rsidR="0048596C">
          <w:rPr>
            <w:noProof/>
            <w:webHidden/>
          </w:rPr>
        </w:r>
        <w:r w:rsidR="0048596C">
          <w:rPr>
            <w:noProof/>
            <w:webHidden/>
          </w:rPr>
          <w:fldChar w:fldCharType="separate"/>
        </w:r>
        <w:r>
          <w:rPr>
            <w:noProof/>
            <w:webHidden/>
          </w:rPr>
          <w:t>22</w:t>
        </w:r>
        <w:r w:rsidR="0048596C">
          <w:rPr>
            <w:noProof/>
            <w:webHidden/>
          </w:rPr>
          <w:fldChar w:fldCharType="end"/>
        </w:r>
      </w:hyperlink>
    </w:p>
    <w:p w14:paraId="0A743633" w14:textId="43A9BE98"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73" w:history="1">
        <w:r w:rsidR="0048596C" w:rsidRPr="001329F8">
          <w:rPr>
            <w:rStyle w:val="Hyperlink"/>
            <w:noProof/>
          </w:rPr>
          <w:t>6.3</w:t>
        </w:r>
        <w:r w:rsidR="0048596C">
          <w:rPr>
            <w:rFonts w:eastAsiaTheme="minorEastAsia" w:cstheme="minorBidi"/>
            <w:smallCaps w:val="0"/>
            <w:noProof/>
            <w:sz w:val="22"/>
            <w:szCs w:val="22"/>
            <w:lang w:eastAsia="en-GB" w:bidi="ar-SA"/>
          </w:rPr>
          <w:tab/>
        </w:r>
        <w:r w:rsidR="0048596C" w:rsidRPr="001329F8">
          <w:rPr>
            <w:rStyle w:val="Hyperlink"/>
            <w:noProof/>
          </w:rPr>
          <w:t>Subsection 18(2) considerations</w:t>
        </w:r>
        <w:r w:rsidR="0048596C">
          <w:rPr>
            <w:noProof/>
            <w:webHidden/>
          </w:rPr>
          <w:tab/>
        </w:r>
        <w:r w:rsidR="0048596C">
          <w:rPr>
            <w:noProof/>
            <w:webHidden/>
          </w:rPr>
          <w:fldChar w:fldCharType="begin"/>
        </w:r>
        <w:r w:rsidR="0048596C">
          <w:rPr>
            <w:noProof/>
            <w:webHidden/>
          </w:rPr>
          <w:instrText xml:space="preserve"> PAGEREF _Toc94172673 \h </w:instrText>
        </w:r>
        <w:r w:rsidR="0048596C">
          <w:rPr>
            <w:noProof/>
            <w:webHidden/>
          </w:rPr>
        </w:r>
        <w:r w:rsidR="0048596C">
          <w:rPr>
            <w:noProof/>
            <w:webHidden/>
          </w:rPr>
          <w:fldChar w:fldCharType="separate"/>
        </w:r>
        <w:r>
          <w:rPr>
            <w:noProof/>
            <w:webHidden/>
          </w:rPr>
          <w:t>22</w:t>
        </w:r>
        <w:r w:rsidR="0048596C">
          <w:rPr>
            <w:noProof/>
            <w:webHidden/>
          </w:rPr>
          <w:fldChar w:fldCharType="end"/>
        </w:r>
      </w:hyperlink>
    </w:p>
    <w:p w14:paraId="27500BE2" w14:textId="736D27E3"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4" w:history="1">
        <w:r w:rsidR="0048596C" w:rsidRPr="001329F8">
          <w:rPr>
            <w:rStyle w:val="Hyperlink"/>
            <w:noProof/>
          </w:rPr>
          <w:t>6.3.1</w:t>
        </w:r>
        <w:r w:rsidR="0048596C">
          <w:rPr>
            <w:rFonts w:eastAsiaTheme="minorEastAsia" w:cstheme="minorBidi"/>
            <w:i w:val="0"/>
            <w:iCs w:val="0"/>
            <w:noProof/>
            <w:sz w:val="22"/>
            <w:szCs w:val="22"/>
            <w:lang w:eastAsia="en-GB" w:bidi="ar-SA"/>
          </w:rPr>
          <w:tab/>
        </w:r>
        <w:r w:rsidR="0048596C" w:rsidRPr="001329F8">
          <w:rPr>
            <w:rStyle w:val="Hyperlink"/>
            <w:noProof/>
          </w:rPr>
          <w:t>The need for standards to be based on risk analysis using the best available scientific evidence</w:t>
        </w:r>
        <w:r w:rsidR="0048596C">
          <w:rPr>
            <w:noProof/>
            <w:webHidden/>
          </w:rPr>
          <w:tab/>
        </w:r>
        <w:r w:rsidR="0048596C">
          <w:rPr>
            <w:noProof/>
            <w:webHidden/>
          </w:rPr>
          <w:fldChar w:fldCharType="begin"/>
        </w:r>
        <w:r w:rsidR="0048596C">
          <w:rPr>
            <w:noProof/>
            <w:webHidden/>
          </w:rPr>
          <w:instrText xml:space="preserve"> PAGEREF _Toc94172674 \h </w:instrText>
        </w:r>
        <w:r w:rsidR="0048596C">
          <w:rPr>
            <w:noProof/>
            <w:webHidden/>
          </w:rPr>
        </w:r>
        <w:r w:rsidR="0048596C">
          <w:rPr>
            <w:noProof/>
            <w:webHidden/>
          </w:rPr>
          <w:fldChar w:fldCharType="separate"/>
        </w:r>
        <w:r>
          <w:rPr>
            <w:noProof/>
            <w:webHidden/>
          </w:rPr>
          <w:t>22</w:t>
        </w:r>
        <w:r w:rsidR="0048596C">
          <w:rPr>
            <w:noProof/>
            <w:webHidden/>
          </w:rPr>
          <w:fldChar w:fldCharType="end"/>
        </w:r>
      </w:hyperlink>
    </w:p>
    <w:p w14:paraId="44E4B046" w14:textId="43F5B497"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5" w:history="1">
        <w:r w:rsidR="0048596C" w:rsidRPr="001329F8">
          <w:rPr>
            <w:rStyle w:val="Hyperlink"/>
            <w:noProof/>
          </w:rPr>
          <w:t>6.3.2</w:t>
        </w:r>
        <w:r w:rsidR="0048596C">
          <w:rPr>
            <w:rFonts w:eastAsiaTheme="minorEastAsia" w:cstheme="minorBidi"/>
            <w:i w:val="0"/>
            <w:iCs w:val="0"/>
            <w:noProof/>
            <w:sz w:val="22"/>
            <w:szCs w:val="22"/>
            <w:lang w:eastAsia="en-GB" w:bidi="ar-SA"/>
          </w:rPr>
          <w:tab/>
        </w:r>
        <w:r w:rsidR="0048596C" w:rsidRPr="001329F8">
          <w:rPr>
            <w:rStyle w:val="Hyperlink"/>
            <w:noProof/>
          </w:rPr>
          <w:t>The promotion of consistency between domestic and international food standards</w:t>
        </w:r>
        <w:r w:rsidR="0048596C">
          <w:rPr>
            <w:noProof/>
            <w:webHidden/>
          </w:rPr>
          <w:tab/>
        </w:r>
        <w:r w:rsidR="0048596C">
          <w:rPr>
            <w:noProof/>
            <w:webHidden/>
          </w:rPr>
          <w:fldChar w:fldCharType="begin"/>
        </w:r>
        <w:r w:rsidR="0048596C">
          <w:rPr>
            <w:noProof/>
            <w:webHidden/>
          </w:rPr>
          <w:instrText xml:space="preserve"> PAGEREF _Toc94172675 \h </w:instrText>
        </w:r>
        <w:r w:rsidR="0048596C">
          <w:rPr>
            <w:noProof/>
            <w:webHidden/>
          </w:rPr>
        </w:r>
        <w:r w:rsidR="0048596C">
          <w:rPr>
            <w:noProof/>
            <w:webHidden/>
          </w:rPr>
          <w:fldChar w:fldCharType="separate"/>
        </w:r>
        <w:r>
          <w:rPr>
            <w:noProof/>
            <w:webHidden/>
          </w:rPr>
          <w:t>23</w:t>
        </w:r>
        <w:r w:rsidR="0048596C">
          <w:rPr>
            <w:noProof/>
            <w:webHidden/>
          </w:rPr>
          <w:fldChar w:fldCharType="end"/>
        </w:r>
      </w:hyperlink>
    </w:p>
    <w:p w14:paraId="144B38BC" w14:textId="4AF7AD30"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6" w:history="1">
        <w:r w:rsidR="0048596C" w:rsidRPr="001329F8">
          <w:rPr>
            <w:rStyle w:val="Hyperlink"/>
            <w:noProof/>
          </w:rPr>
          <w:t>6.3.3</w:t>
        </w:r>
        <w:r w:rsidR="0048596C">
          <w:rPr>
            <w:rFonts w:eastAsiaTheme="minorEastAsia" w:cstheme="minorBidi"/>
            <w:i w:val="0"/>
            <w:iCs w:val="0"/>
            <w:noProof/>
            <w:sz w:val="22"/>
            <w:szCs w:val="22"/>
            <w:lang w:eastAsia="en-GB" w:bidi="ar-SA"/>
          </w:rPr>
          <w:tab/>
        </w:r>
        <w:r w:rsidR="0048596C" w:rsidRPr="001329F8">
          <w:rPr>
            <w:rStyle w:val="Hyperlink"/>
            <w:noProof/>
          </w:rPr>
          <w:t>The desirability of an efficient and internationally competitive food industry</w:t>
        </w:r>
        <w:r w:rsidR="0048596C">
          <w:rPr>
            <w:noProof/>
            <w:webHidden/>
          </w:rPr>
          <w:tab/>
        </w:r>
        <w:r w:rsidR="0048596C">
          <w:rPr>
            <w:noProof/>
            <w:webHidden/>
          </w:rPr>
          <w:fldChar w:fldCharType="begin"/>
        </w:r>
        <w:r w:rsidR="0048596C">
          <w:rPr>
            <w:noProof/>
            <w:webHidden/>
          </w:rPr>
          <w:instrText xml:space="preserve"> PAGEREF _Toc94172676 \h </w:instrText>
        </w:r>
        <w:r w:rsidR="0048596C">
          <w:rPr>
            <w:noProof/>
            <w:webHidden/>
          </w:rPr>
        </w:r>
        <w:r w:rsidR="0048596C">
          <w:rPr>
            <w:noProof/>
            <w:webHidden/>
          </w:rPr>
          <w:fldChar w:fldCharType="separate"/>
        </w:r>
        <w:r>
          <w:rPr>
            <w:noProof/>
            <w:webHidden/>
          </w:rPr>
          <w:t>23</w:t>
        </w:r>
        <w:r w:rsidR="0048596C">
          <w:rPr>
            <w:noProof/>
            <w:webHidden/>
          </w:rPr>
          <w:fldChar w:fldCharType="end"/>
        </w:r>
      </w:hyperlink>
    </w:p>
    <w:p w14:paraId="24CC4CD4" w14:textId="33CFB95F"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7" w:history="1">
        <w:r w:rsidR="0048596C" w:rsidRPr="001329F8">
          <w:rPr>
            <w:rStyle w:val="Hyperlink"/>
            <w:noProof/>
          </w:rPr>
          <w:t>6.3.4</w:t>
        </w:r>
        <w:r w:rsidR="0048596C">
          <w:rPr>
            <w:rFonts w:eastAsiaTheme="minorEastAsia" w:cstheme="minorBidi"/>
            <w:i w:val="0"/>
            <w:iCs w:val="0"/>
            <w:noProof/>
            <w:sz w:val="22"/>
            <w:szCs w:val="22"/>
            <w:lang w:eastAsia="en-GB" w:bidi="ar-SA"/>
          </w:rPr>
          <w:tab/>
        </w:r>
        <w:r w:rsidR="0048596C" w:rsidRPr="001329F8">
          <w:rPr>
            <w:rStyle w:val="Hyperlink"/>
            <w:noProof/>
          </w:rPr>
          <w:t>the promotion of fair trading in food</w:t>
        </w:r>
        <w:r w:rsidR="0048596C">
          <w:rPr>
            <w:noProof/>
            <w:webHidden/>
          </w:rPr>
          <w:tab/>
        </w:r>
        <w:r w:rsidR="0048596C">
          <w:rPr>
            <w:noProof/>
            <w:webHidden/>
          </w:rPr>
          <w:fldChar w:fldCharType="begin"/>
        </w:r>
        <w:r w:rsidR="0048596C">
          <w:rPr>
            <w:noProof/>
            <w:webHidden/>
          </w:rPr>
          <w:instrText xml:space="preserve"> PAGEREF _Toc94172677 \h </w:instrText>
        </w:r>
        <w:r w:rsidR="0048596C">
          <w:rPr>
            <w:noProof/>
            <w:webHidden/>
          </w:rPr>
        </w:r>
        <w:r w:rsidR="0048596C">
          <w:rPr>
            <w:noProof/>
            <w:webHidden/>
          </w:rPr>
          <w:fldChar w:fldCharType="separate"/>
        </w:r>
        <w:r>
          <w:rPr>
            <w:noProof/>
            <w:webHidden/>
          </w:rPr>
          <w:t>23</w:t>
        </w:r>
        <w:r w:rsidR="0048596C">
          <w:rPr>
            <w:noProof/>
            <w:webHidden/>
          </w:rPr>
          <w:fldChar w:fldCharType="end"/>
        </w:r>
      </w:hyperlink>
    </w:p>
    <w:p w14:paraId="4CAC3443" w14:textId="0B0AA00D" w:rsidR="0048596C" w:rsidRDefault="00302799">
      <w:pPr>
        <w:pStyle w:val="TOC3"/>
        <w:tabs>
          <w:tab w:val="left" w:pos="1100"/>
          <w:tab w:val="right" w:leader="dot" w:pos="8052"/>
        </w:tabs>
        <w:rPr>
          <w:rFonts w:eastAsiaTheme="minorEastAsia" w:cstheme="minorBidi"/>
          <w:i w:val="0"/>
          <w:iCs w:val="0"/>
          <w:noProof/>
          <w:sz w:val="22"/>
          <w:szCs w:val="22"/>
          <w:lang w:eastAsia="en-GB" w:bidi="ar-SA"/>
        </w:rPr>
      </w:pPr>
      <w:hyperlink w:anchor="_Toc94172678" w:history="1">
        <w:r w:rsidR="0048596C" w:rsidRPr="001329F8">
          <w:rPr>
            <w:rStyle w:val="Hyperlink"/>
            <w:noProof/>
          </w:rPr>
          <w:t>6.3.5</w:t>
        </w:r>
        <w:r w:rsidR="0048596C">
          <w:rPr>
            <w:rFonts w:eastAsiaTheme="minorEastAsia" w:cstheme="minorBidi"/>
            <w:i w:val="0"/>
            <w:iCs w:val="0"/>
            <w:noProof/>
            <w:sz w:val="22"/>
            <w:szCs w:val="22"/>
            <w:lang w:eastAsia="en-GB" w:bidi="ar-SA"/>
          </w:rPr>
          <w:tab/>
        </w:r>
        <w:r w:rsidR="0048596C" w:rsidRPr="001329F8">
          <w:rPr>
            <w:rStyle w:val="Hyperlink"/>
            <w:noProof/>
          </w:rPr>
          <w:t>Any written policy guidelines formulated by the Forum on Food Regulation</w:t>
        </w:r>
        <w:r w:rsidR="0048596C">
          <w:rPr>
            <w:noProof/>
            <w:webHidden/>
          </w:rPr>
          <w:tab/>
        </w:r>
        <w:r w:rsidR="0048596C">
          <w:rPr>
            <w:noProof/>
            <w:webHidden/>
          </w:rPr>
          <w:fldChar w:fldCharType="begin"/>
        </w:r>
        <w:r w:rsidR="0048596C">
          <w:rPr>
            <w:noProof/>
            <w:webHidden/>
          </w:rPr>
          <w:instrText xml:space="preserve"> PAGEREF _Toc94172678 \h </w:instrText>
        </w:r>
        <w:r w:rsidR="0048596C">
          <w:rPr>
            <w:noProof/>
            <w:webHidden/>
          </w:rPr>
        </w:r>
        <w:r w:rsidR="0048596C">
          <w:rPr>
            <w:noProof/>
            <w:webHidden/>
          </w:rPr>
          <w:fldChar w:fldCharType="separate"/>
        </w:r>
        <w:r>
          <w:rPr>
            <w:noProof/>
            <w:webHidden/>
          </w:rPr>
          <w:t>23</w:t>
        </w:r>
        <w:r w:rsidR="0048596C">
          <w:rPr>
            <w:noProof/>
            <w:webHidden/>
          </w:rPr>
          <w:fldChar w:fldCharType="end"/>
        </w:r>
      </w:hyperlink>
    </w:p>
    <w:p w14:paraId="055DC09D" w14:textId="7F12493D"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79" w:history="1">
        <w:r w:rsidR="0048596C" w:rsidRPr="001329F8">
          <w:rPr>
            <w:rStyle w:val="Hyperlink"/>
            <w:noProof/>
          </w:rPr>
          <w:t>7</w:t>
        </w:r>
        <w:r w:rsidR="0048596C">
          <w:rPr>
            <w:rFonts w:eastAsiaTheme="minorEastAsia" w:cstheme="minorBidi"/>
            <w:b w:val="0"/>
            <w:bCs w:val="0"/>
            <w:caps w:val="0"/>
            <w:noProof/>
            <w:sz w:val="22"/>
            <w:szCs w:val="22"/>
            <w:lang w:eastAsia="en-GB" w:bidi="ar-SA"/>
          </w:rPr>
          <w:tab/>
        </w:r>
        <w:r w:rsidR="0048596C" w:rsidRPr="001329F8">
          <w:rPr>
            <w:rStyle w:val="Hyperlink"/>
            <w:noProof/>
          </w:rPr>
          <w:t>Draft standard</w:t>
        </w:r>
        <w:r w:rsidR="0048596C">
          <w:rPr>
            <w:noProof/>
            <w:webHidden/>
          </w:rPr>
          <w:tab/>
        </w:r>
        <w:r w:rsidR="0048596C">
          <w:rPr>
            <w:noProof/>
            <w:webHidden/>
          </w:rPr>
          <w:fldChar w:fldCharType="begin"/>
        </w:r>
        <w:r w:rsidR="0048596C">
          <w:rPr>
            <w:noProof/>
            <w:webHidden/>
          </w:rPr>
          <w:instrText xml:space="preserve"> PAGEREF _Toc94172679 \h </w:instrText>
        </w:r>
        <w:r w:rsidR="0048596C">
          <w:rPr>
            <w:noProof/>
            <w:webHidden/>
          </w:rPr>
        </w:r>
        <w:r w:rsidR="0048596C">
          <w:rPr>
            <w:noProof/>
            <w:webHidden/>
          </w:rPr>
          <w:fldChar w:fldCharType="separate"/>
        </w:r>
        <w:r>
          <w:rPr>
            <w:noProof/>
            <w:webHidden/>
          </w:rPr>
          <w:t>24</w:t>
        </w:r>
        <w:r w:rsidR="0048596C">
          <w:rPr>
            <w:noProof/>
            <w:webHidden/>
          </w:rPr>
          <w:fldChar w:fldCharType="end"/>
        </w:r>
      </w:hyperlink>
    </w:p>
    <w:p w14:paraId="78B30B71" w14:textId="78C3BAD6"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80" w:history="1">
        <w:r w:rsidR="0048596C" w:rsidRPr="001329F8">
          <w:rPr>
            <w:rStyle w:val="Hyperlink"/>
            <w:noProof/>
          </w:rPr>
          <w:t>7.1</w:t>
        </w:r>
        <w:r w:rsidR="0048596C">
          <w:rPr>
            <w:rFonts w:eastAsiaTheme="minorEastAsia" w:cstheme="minorBidi"/>
            <w:smallCaps w:val="0"/>
            <w:noProof/>
            <w:sz w:val="22"/>
            <w:szCs w:val="22"/>
            <w:lang w:eastAsia="en-GB" w:bidi="ar-SA"/>
          </w:rPr>
          <w:tab/>
        </w:r>
        <w:r w:rsidR="0048596C" w:rsidRPr="001329F8">
          <w:rPr>
            <w:rStyle w:val="Hyperlink"/>
            <w:noProof/>
          </w:rPr>
          <w:t>Transitional arrangements</w:t>
        </w:r>
        <w:r w:rsidR="0048596C">
          <w:rPr>
            <w:noProof/>
            <w:webHidden/>
          </w:rPr>
          <w:tab/>
        </w:r>
        <w:r w:rsidR="0048596C">
          <w:rPr>
            <w:noProof/>
            <w:webHidden/>
          </w:rPr>
          <w:fldChar w:fldCharType="begin"/>
        </w:r>
        <w:r w:rsidR="0048596C">
          <w:rPr>
            <w:noProof/>
            <w:webHidden/>
          </w:rPr>
          <w:instrText xml:space="preserve"> PAGEREF _Toc94172680 \h </w:instrText>
        </w:r>
        <w:r w:rsidR="0048596C">
          <w:rPr>
            <w:noProof/>
            <w:webHidden/>
          </w:rPr>
        </w:r>
        <w:r w:rsidR="0048596C">
          <w:rPr>
            <w:noProof/>
            <w:webHidden/>
          </w:rPr>
          <w:fldChar w:fldCharType="separate"/>
        </w:r>
        <w:r>
          <w:rPr>
            <w:noProof/>
            <w:webHidden/>
          </w:rPr>
          <w:t>24</w:t>
        </w:r>
        <w:r w:rsidR="0048596C">
          <w:rPr>
            <w:noProof/>
            <w:webHidden/>
          </w:rPr>
          <w:fldChar w:fldCharType="end"/>
        </w:r>
      </w:hyperlink>
    </w:p>
    <w:p w14:paraId="07CAE80A" w14:textId="40A86898" w:rsidR="0048596C" w:rsidRDefault="00302799">
      <w:pPr>
        <w:pStyle w:val="TOC2"/>
        <w:tabs>
          <w:tab w:val="left" w:pos="880"/>
          <w:tab w:val="right" w:leader="dot" w:pos="8052"/>
        </w:tabs>
        <w:rPr>
          <w:rFonts w:eastAsiaTheme="minorEastAsia" w:cstheme="minorBidi"/>
          <w:smallCaps w:val="0"/>
          <w:noProof/>
          <w:sz w:val="22"/>
          <w:szCs w:val="22"/>
          <w:lang w:eastAsia="en-GB" w:bidi="ar-SA"/>
        </w:rPr>
      </w:pPr>
      <w:hyperlink w:anchor="_Toc94172681" w:history="1">
        <w:r w:rsidR="0048596C" w:rsidRPr="001329F8">
          <w:rPr>
            <w:rStyle w:val="Hyperlink"/>
            <w:noProof/>
          </w:rPr>
          <w:t>7.2</w:t>
        </w:r>
        <w:r w:rsidR="0048596C">
          <w:rPr>
            <w:rFonts w:eastAsiaTheme="minorEastAsia" w:cstheme="minorBidi"/>
            <w:smallCaps w:val="0"/>
            <w:noProof/>
            <w:sz w:val="22"/>
            <w:szCs w:val="22"/>
            <w:lang w:eastAsia="en-GB" w:bidi="ar-SA"/>
          </w:rPr>
          <w:tab/>
        </w:r>
        <w:r w:rsidR="0048596C" w:rsidRPr="001329F8">
          <w:rPr>
            <w:rStyle w:val="Hyperlink"/>
            <w:noProof/>
          </w:rPr>
          <w:t>Implementation</w:t>
        </w:r>
        <w:r w:rsidR="0048596C">
          <w:rPr>
            <w:noProof/>
            <w:webHidden/>
          </w:rPr>
          <w:tab/>
        </w:r>
        <w:r w:rsidR="0048596C">
          <w:rPr>
            <w:noProof/>
            <w:webHidden/>
          </w:rPr>
          <w:fldChar w:fldCharType="begin"/>
        </w:r>
        <w:r w:rsidR="0048596C">
          <w:rPr>
            <w:noProof/>
            <w:webHidden/>
          </w:rPr>
          <w:instrText xml:space="preserve"> PAGEREF _Toc94172681 \h </w:instrText>
        </w:r>
        <w:r w:rsidR="0048596C">
          <w:rPr>
            <w:noProof/>
            <w:webHidden/>
          </w:rPr>
        </w:r>
        <w:r w:rsidR="0048596C">
          <w:rPr>
            <w:noProof/>
            <w:webHidden/>
          </w:rPr>
          <w:fldChar w:fldCharType="separate"/>
        </w:r>
        <w:r>
          <w:rPr>
            <w:noProof/>
            <w:webHidden/>
          </w:rPr>
          <w:t>24</w:t>
        </w:r>
        <w:r w:rsidR="0048596C">
          <w:rPr>
            <w:noProof/>
            <w:webHidden/>
          </w:rPr>
          <w:fldChar w:fldCharType="end"/>
        </w:r>
      </w:hyperlink>
    </w:p>
    <w:p w14:paraId="0E347006" w14:textId="740D3D6B" w:rsidR="0048596C" w:rsidRDefault="00302799">
      <w:pPr>
        <w:pStyle w:val="TOC1"/>
        <w:tabs>
          <w:tab w:val="left" w:pos="440"/>
          <w:tab w:val="right" w:leader="dot" w:pos="8052"/>
        </w:tabs>
        <w:rPr>
          <w:rFonts w:eastAsiaTheme="minorEastAsia" w:cstheme="minorBidi"/>
          <w:b w:val="0"/>
          <w:bCs w:val="0"/>
          <w:caps w:val="0"/>
          <w:noProof/>
          <w:sz w:val="22"/>
          <w:szCs w:val="22"/>
          <w:lang w:eastAsia="en-GB" w:bidi="ar-SA"/>
        </w:rPr>
      </w:pPr>
      <w:hyperlink w:anchor="_Toc94172682" w:history="1">
        <w:r w:rsidR="0048596C" w:rsidRPr="001329F8">
          <w:rPr>
            <w:rStyle w:val="Hyperlink"/>
            <w:noProof/>
          </w:rPr>
          <w:t>8</w:t>
        </w:r>
        <w:r w:rsidR="0048596C">
          <w:rPr>
            <w:rFonts w:eastAsiaTheme="minorEastAsia" w:cstheme="minorBidi"/>
            <w:b w:val="0"/>
            <w:bCs w:val="0"/>
            <w:caps w:val="0"/>
            <w:noProof/>
            <w:sz w:val="22"/>
            <w:szCs w:val="22"/>
            <w:lang w:eastAsia="en-GB" w:bidi="ar-SA"/>
          </w:rPr>
          <w:tab/>
        </w:r>
        <w:r w:rsidR="0048596C" w:rsidRPr="001329F8">
          <w:rPr>
            <w:rStyle w:val="Hyperlink"/>
            <w:noProof/>
          </w:rPr>
          <w:t>References</w:t>
        </w:r>
        <w:r w:rsidR="0048596C">
          <w:rPr>
            <w:noProof/>
            <w:webHidden/>
          </w:rPr>
          <w:tab/>
        </w:r>
        <w:r w:rsidR="0048596C">
          <w:rPr>
            <w:noProof/>
            <w:webHidden/>
          </w:rPr>
          <w:fldChar w:fldCharType="begin"/>
        </w:r>
        <w:r w:rsidR="0048596C">
          <w:rPr>
            <w:noProof/>
            <w:webHidden/>
          </w:rPr>
          <w:instrText xml:space="preserve"> PAGEREF _Toc94172682 \h </w:instrText>
        </w:r>
        <w:r w:rsidR="0048596C">
          <w:rPr>
            <w:noProof/>
            <w:webHidden/>
          </w:rPr>
        </w:r>
        <w:r w:rsidR="0048596C">
          <w:rPr>
            <w:noProof/>
            <w:webHidden/>
          </w:rPr>
          <w:fldChar w:fldCharType="separate"/>
        </w:r>
        <w:r>
          <w:rPr>
            <w:noProof/>
            <w:webHidden/>
          </w:rPr>
          <w:t>24</w:t>
        </w:r>
        <w:r w:rsidR="0048596C">
          <w:rPr>
            <w:noProof/>
            <w:webHidden/>
          </w:rPr>
          <w:fldChar w:fldCharType="end"/>
        </w:r>
      </w:hyperlink>
    </w:p>
    <w:p w14:paraId="0CBA45FD" w14:textId="2854D7A0" w:rsidR="0048596C" w:rsidRDefault="00302799">
      <w:pPr>
        <w:pStyle w:val="TOC2"/>
        <w:tabs>
          <w:tab w:val="right" w:leader="dot" w:pos="8052"/>
        </w:tabs>
        <w:rPr>
          <w:rFonts w:eastAsiaTheme="minorEastAsia" w:cstheme="minorBidi"/>
          <w:smallCaps w:val="0"/>
          <w:noProof/>
          <w:sz w:val="22"/>
          <w:szCs w:val="22"/>
          <w:lang w:eastAsia="en-GB" w:bidi="ar-SA"/>
        </w:rPr>
      </w:pPr>
      <w:hyperlink w:anchor="_Toc94172683" w:history="1">
        <w:r w:rsidR="0048596C" w:rsidRPr="001329F8">
          <w:rPr>
            <w:rStyle w:val="Hyperlink"/>
            <w:noProof/>
          </w:rPr>
          <w:t xml:space="preserve">Attachment A – Draft variations to the </w:t>
        </w:r>
        <w:r w:rsidR="0048596C" w:rsidRPr="001329F8">
          <w:rPr>
            <w:rStyle w:val="Hyperlink"/>
            <w:i/>
            <w:noProof/>
          </w:rPr>
          <w:t>Australia New Zealand Food Standards Code</w:t>
        </w:r>
        <w:r w:rsidR="0048596C">
          <w:rPr>
            <w:noProof/>
            <w:webHidden/>
          </w:rPr>
          <w:tab/>
        </w:r>
        <w:r w:rsidR="0048596C">
          <w:rPr>
            <w:noProof/>
            <w:webHidden/>
          </w:rPr>
          <w:fldChar w:fldCharType="begin"/>
        </w:r>
        <w:r w:rsidR="0048596C">
          <w:rPr>
            <w:noProof/>
            <w:webHidden/>
          </w:rPr>
          <w:instrText xml:space="preserve"> PAGEREF _Toc94172683 \h </w:instrText>
        </w:r>
        <w:r w:rsidR="0048596C">
          <w:rPr>
            <w:noProof/>
            <w:webHidden/>
          </w:rPr>
        </w:r>
        <w:r w:rsidR="0048596C">
          <w:rPr>
            <w:noProof/>
            <w:webHidden/>
          </w:rPr>
          <w:fldChar w:fldCharType="separate"/>
        </w:r>
        <w:r>
          <w:rPr>
            <w:noProof/>
            <w:webHidden/>
          </w:rPr>
          <w:t>26</w:t>
        </w:r>
        <w:r w:rsidR="0048596C">
          <w:rPr>
            <w:noProof/>
            <w:webHidden/>
          </w:rPr>
          <w:fldChar w:fldCharType="end"/>
        </w:r>
      </w:hyperlink>
    </w:p>
    <w:p w14:paraId="611BAA0A" w14:textId="200F2706" w:rsidR="0048596C" w:rsidRDefault="00302799">
      <w:pPr>
        <w:pStyle w:val="TOC3"/>
        <w:tabs>
          <w:tab w:val="left" w:pos="2057"/>
          <w:tab w:val="right" w:leader="dot" w:pos="8052"/>
        </w:tabs>
        <w:rPr>
          <w:rFonts w:eastAsiaTheme="minorEastAsia" w:cstheme="minorBidi"/>
          <w:i w:val="0"/>
          <w:iCs w:val="0"/>
          <w:noProof/>
          <w:sz w:val="22"/>
          <w:szCs w:val="22"/>
          <w:lang w:eastAsia="en-GB" w:bidi="ar-SA"/>
        </w:rPr>
      </w:pPr>
      <w:hyperlink w:anchor="_Toc94172684" w:history="1">
        <w:r w:rsidR="0048596C" w:rsidRPr="001329F8">
          <w:rPr>
            <w:rStyle w:val="Hyperlink"/>
            <w:noProof/>
          </w:rPr>
          <w:t>Standard 3.2.2A</w:t>
        </w:r>
        <w:r w:rsidR="008848B0">
          <w:rPr>
            <w:rStyle w:val="Hyperlink"/>
            <w:noProof/>
          </w:rPr>
          <w:t xml:space="preserve">  </w:t>
        </w:r>
        <w:r w:rsidR="0048596C">
          <w:rPr>
            <w:rFonts w:eastAsiaTheme="minorEastAsia" w:cstheme="minorBidi"/>
            <w:i w:val="0"/>
            <w:iCs w:val="0"/>
            <w:noProof/>
            <w:sz w:val="22"/>
            <w:szCs w:val="22"/>
            <w:lang w:eastAsia="en-GB" w:bidi="ar-SA"/>
          </w:rPr>
          <w:tab/>
        </w:r>
        <w:r w:rsidR="0048596C" w:rsidRPr="001329F8">
          <w:rPr>
            <w:rStyle w:val="Hyperlink"/>
            <w:noProof/>
          </w:rPr>
          <w:t>Food Safety Management Tools</w:t>
        </w:r>
        <w:r w:rsidR="0048596C">
          <w:rPr>
            <w:noProof/>
            <w:webHidden/>
          </w:rPr>
          <w:tab/>
        </w:r>
        <w:r w:rsidR="0048596C">
          <w:rPr>
            <w:noProof/>
            <w:webHidden/>
          </w:rPr>
          <w:fldChar w:fldCharType="begin"/>
        </w:r>
        <w:r w:rsidR="0048596C">
          <w:rPr>
            <w:noProof/>
            <w:webHidden/>
          </w:rPr>
          <w:instrText xml:space="preserve"> PAGEREF _Toc94172684 \h </w:instrText>
        </w:r>
        <w:r w:rsidR="0048596C">
          <w:rPr>
            <w:noProof/>
            <w:webHidden/>
          </w:rPr>
        </w:r>
        <w:r w:rsidR="0048596C">
          <w:rPr>
            <w:noProof/>
            <w:webHidden/>
          </w:rPr>
          <w:fldChar w:fldCharType="separate"/>
        </w:r>
        <w:r>
          <w:rPr>
            <w:noProof/>
            <w:webHidden/>
          </w:rPr>
          <w:t>27</w:t>
        </w:r>
        <w:r w:rsidR="0048596C">
          <w:rPr>
            <w:noProof/>
            <w:webHidden/>
          </w:rPr>
          <w:fldChar w:fldCharType="end"/>
        </w:r>
      </w:hyperlink>
    </w:p>
    <w:p w14:paraId="7D572522" w14:textId="6B6B70F2" w:rsidR="0048596C" w:rsidRDefault="00302799">
      <w:pPr>
        <w:pStyle w:val="TOC3"/>
        <w:tabs>
          <w:tab w:val="right" w:leader="dot" w:pos="8052"/>
        </w:tabs>
        <w:rPr>
          <w:rFonts w:eastAsiaTheme="minorEastAsia" w:cstheme="minorBidi"/>
          <w:i w:val="0"/>
          <w:iCs w:val="0"/>
          <w:noProof/>
          <w:sz w:val="22"/>
          <w:szCs w:val="22"/>
          <w:lang w:eastAsia="en-GB" w:bidi="ar-SA"/>
        </w:rPr>
      </w:pPr>
      <w:hyperlink w:anchor="_Toc94172685" w:history="1">
        <w:r w:rsidR="0048596C" w:rsidRPr="001329F8">
          <w:rPr>
            <w:rStyle w:val="Hyperlink"/>
            <w:noProof/>
          </w:rPr>
          <w:t>Standard 1.1.1—Structure of the Code and general provisions</w:t>
        </w:r>
        <w:r w:rsidR="0048596C">
          <w:rPr>
            <w:noProof/>
            <w:webHidden/>
          </w:rPr>
          <w:tab/>
        </w:r>
        <w:r w:rsidR="0048596C">
          <w:rPr>
            <w:noProof/>
            <w:webHidden/>
          </w:rPr>
          <w:fldChar w:fldCharType="begin"/>
        </w:r>
        <w:r w:rsidR="0048596C">
          <w:rPr>
            <w:noProof/>
            <w:webHidden/>
          </w:rPr>
          <w:instrText xml:space="preserve"> PAGEREF _Toc94172685 \h </w:instrText>
        </w:r>
        <w:r w:rsidR="0048596C">
          <w:rPr>
            <w:noProof/>
            <w:webHidden/>
          </w:rPr>
        </w:r>
        <w:r w:rsidR="0048596C">
          <w:rPr>
            <w:noProof/>
            <w:webHidden/>
          </w:rPr>
          <w:fldChar w:fldCharType="separate"/>
        </w:r>
        <w:r>
          <w:rPr>
            <w:noProof/>
            <w:webHidden/>
          </w:rPr>
          <w:t>32</w:t>
        </w:r>
        <w:r w:rsidR="0048596C">
          <w:rPr>
            <w:noProof/>
            <w:webHidden/>
          </w:rPr>
          <w:fldChar w:fldCharType="end"/>
        </w:r>
      </w:hyperlink>
    </w:p>
    <w:p w14:paraId="133891F3" w14:textId="04D22632" w:rsidR="0048596C" w:rsidRDefault="00302799">
      <w:pPr>
        <w:pStyle w:val="TOC2"/>
        <w:tabs>
          <w:tab w:val="right" w:leader="dot" w:pos="8052"/>
        </w:tabs>
        <w:rPr>
          <w:rFonts w:eastAsiaTheme="minorEastAsia" w:cstheme="minorBidi"/>
          <w:smallCaps w:val="0"/>
          <w:noProof/>
          <w:sz w:val="22"/>
          <w:szCs w:val="22"/>
          <w:lang w:eastAsia="en-GB" w:bidi="ar-SA"/>
        </w:rPr>
      </w:pPr>
      <w:hyperlink w:anchor="_Toc94172686" w:history="1">
        <w:r w:rsidR="0048596C" w:rsidRPr="001329F8">
          <w:rPr>
            <w:rStyle w:val="Hyperlink"/>
            <w:noProof/>
          </w:rPr>
          <w:t>Attachment B – Draft Explanatory Statements</w:t>
        </w:r>
        <w:r w:rsidR="0048596C">
          <w:rPr>
            <w:noProof/>
            <w:webHidden/>
          </w:rPr>
          <w:tab/>
        </w:r>
        <w:r w:rsidR="0048596C">
          <w:rPr>
            <w:noProof/>
            <w:webHidden/>
          </w:rPr>
          <w:fldChar w:fldCharType="begin"/>
        </w:r>
        <w:r w:rsidR="0048596C">
          <w:rPr>
            <w:noProof/>
            <w:webHidden/>
          </w:rPr>
          <w:instrText xml:space="preserve"> PAGEREF _Toc94172686 \h </w:instrText>
        </w:r>
        <w:r w:rsidR="0048596C">
          <w:rPr>
            <w:noProof/>
            <w:webHidden/>
          </w:rPr>
        </w:r>
        <w:r w:rsidR="0048596C">
          <w:rPr>
            <w:noProof/>
            <w:webHidden/>
          </w:rPr>
          <w:fldChar w:fldCharType="separate"/>
        </w:r>
        <w:r>
          <w:rPr>
            <w:noProof/>
            <w:webHidden/>
          </w:rPr>
          <w:t>33</w:t>
        </w:r>
        <w:r w:rsidR="0048596C">
          <w:rPr>
            <w:noProof/>
            <w:webHidden/>
          </w:rPr>
          <w:fldChar w:fldCharType="end"/>
        </w:r>
      </w:hyperlink>
    </w:p>
    <w:p w14:paraId="4600FE45" w14:textId="6B10C032" w:rsidR="00051ED9" w:rsidRPr="0059227F" w:rsidRDefault="00051ED9" w:rsidP="00051ED9">
      <w:pPr>
        <w:rPr>
          <w:rFonts w:cs="Arial"/>
        </w:rPr>
      </w:pPr>
      <w:r w:rsidRPr="002C4A91">
        <w:rPr>
          <w:rFonts w:cs="Arial"/>
          <w:sz w:val="20"/>
          <w:szCs w:val="20"/>
        </w:rPr>
        <w:fldChar w:fldCharType="end"/>
      </w:r>
    </w:p>
    <w:p w14:paraId="15BC2E78" w14:textId="77777777" w:rsidR="0037520F" w:rsidRPr="008844E4" w:rsidRDefault="0037520F" w:rsidP="0037520F">
      <w:pPr>
        <w:rPr>
          <w:b/>
          <w:szCs w:val="22"/>
        </w:rPr>
      </w:pPr>
      <w:r w:rsidRPr="008844E4">
        <w:rPr>
          <w:b/>
          <w:szCs w:val="22"/>
        </w:rPr>
        <w:t xml:space="preserve">Supporting </w:t>
      </w:r>
      <w:r w:rsidRPr="00C46038">
        <w:rPr>
          <w:b/>
          <w:szCs w:val="22"/>
        </w:rPr>
        <w:t>documents</w:t>
      </w:r>
    </w:p>
    <w:p w14:paraId="6F4F6571" w14:textId="77777777" w:rsidR="0037520F" w:rsidRPr="0089264A" w:rsidRDefault="0037520F" w:rsidP="0037520F">
      <w:pPr>
        <w:rPr>
          <w:szCs w:val="22"/>
        </w:rPr>
      </w:pPr>
    </w:p>
    <w:p w14:paraId="53F39490" w14:textId="283660BF" w:rsidR="0037520F" w:rsidRPr="0089264A" w:rsidRDefault="0037520F" w:rsidP="0037520F">
      <w:pPr>
        <w:rPr>
          <w:color w:val="FF0000"/>
          <w:szCs w:val="22"/>
        </w:rPr>
      </w:pPr>
      <w:r w:rsidRPr="0089264A">
        <w:rPr>
          <w:szCs w:val="22"/>
        </w:rPr>
        <w:t xml:space="preserve">The </w:t>
      </w:r>
      <w:hyperlink r:id="rId21" w:history="1">
        <w:r w:rsidRPr="005248B9">
          <w:rPr>
            <w:rStyle w:val="Hyperlink"/>
            <w:szCs w:val="22"/>
          </w:rPr>
          <w:t>following documents</w:t>
        </w:r>
      </w:hyperlink>
      <w:r w:rsidRPr="0089264A">
        <w:rPr>
          <w:szCs w:val="22"/>
        </w:rPr>
        <w:t xml:space="preserve"> </w:t>
      </w:r>
      <w:r w:rsidR="00681754">
        <w:rPr>
          <w:szCs w:val="22"/>
        </w:rPr>
        <w:t xml:space="preserve">which informed the assessment of this </w:t>
      </w:r>
      <w:r w:rsidR="00603257">
        <w:rPr>
          <w:szCs w:val="22"/>
        </w:rPr>
        <w:t>p</w:t>
      </w:r>
      <w:r w:rsidR="00681754" w:rsidRPr="006A5AE3">
        <w:rPr>
          <w:szCs w:val="22"/>
        </w:rPr>
        <w:t>roposal</w:t>
      </w:r>
      <w:r>
        <w:rPr>
          <w:szCs w:val="22"/>
        </w:rPr>
        <w:t xml:space="preserve"> are</w:t>
      </w:r>
      <w:r w:rsidRPr="0089264A">
        <w:rPr>
          <w:szCs w:val="22"/>
        </w:rPr>
        <w:t xml:space="preserve"> available on the FSANZ website</w:t>
      </w:r>
      <w:r w:rsidR="00820535">
        <w:rPr>
          <w:szCs w:val="22"/>
        </w:rPr>
        <w:t>:</w:t>
      </w:r>
    </w:p>
    <w:p w14:paraId="42974389" w14:textId="77777777" w:rsidR="0089264A" w:rsidRPr="0089264A" w:rsidRDefault="0089264A" w:rsidP="0089264A">
      <w:pPr>
        <w:rPr>
          <w:szCs w:val="22"/>
        </w:rPr>
      </w:pPr>
    </w:p>
    <w:p w14:paraId="4006B5D6" w14:textId="5F89A5AE" w:rsidR="0089264A" w:rsidRPr="00C46038" w:rsidRDefault="0089264A" w:rsidP="003A7725">
      <w:pPr>
        <w:ind w:left="1134" w:hanging="1134"/>
      </w:pPr>
      <w:r w:rsidRPr="00C46038">
        <w:t>SD1</w:t>
      </w:r>
      <w:r w:rsidRPr="00C46038">
        <w:tab/>
      </w:r>
      <w:r w:rsidR="00567F36" w:rsidRPr="00C46038">
        <w:t>Consultation Regulatory Impact Statement (</w:t>
      </w:r>
      <w:r w:rsidR="00567F36">
        <w:t>C</w:t>
      </w:r>
      <w:r w:rsidR="00567F36" w:rsidRPr="00C46038">
        <w:t>RIS)</w:t>
      </w:r>
      <w:r w:rsidR="00567F36">
        <w:t xml:space="preserve"> </w:t>
      </w:r>
    </w:p>
    <w:p w14:paraId="2B88C092" w14:textId="294B7E1D" w:rsidR="00567F36" w:rsidRDefault="00C46038" w:rsidP="00567F36">
      <w:pPr>
        <w:ind w:left="1134" w:hanging="1134"/>
      </w:pPr>
      <w:r w:rsidRPr="00C46038">
        <w:t>SD</w:t>
      </w:r>
      <w:r w:rsidR="004C47E5">
        <w:t>2</w:t>
      </w:r>
      <w:r w:rsidRPr="00C46038">
        <w:tab/>
      </w:r>
      <w:r w:rsidR="00567F36">
        <w:t xml:space="preserve">Microbiological </w:t>
      </w:r>
      <w:r w:rsidR="00567F36" w:rsidRPr="00A23959">
        <w:t>Risk Profiling</w:t>
      </w:r>
    </w:p>
    <w:p w14:paraId="752A647E" w14:textId="5031DC47" w:rsidR="00446212" w:rsidRPr="00C46038" w:rsidRDefault="00446212" w:rsidP="00567F36">
      <w:pPr>
        <w:ind w:left="1134" w:hanging="1134"/>
      </w:pPr>
      <w:r>
        <w:t>SD</w:t>
      </w:r>
      <w:r w:rsidR="004C47E5">
        <w:t>3</w:t>
      </w:r>
      <w:r>
        <w:tab/>
        <w:t>Draft implementation guidance for food businesses</w:t>
      </w:r>
    </w:p>
    <w:p w14:paraId="3CAFDF93" w14:textId="6C2EB0FB" w:rsidR="00C46038" w:rsidRPr="00C46038" w:rsidRDefault="00567F36" w:rsidP="00567F36">
      <w:pPr>
        <w:ind w:left="1134" w:hanging="1134"/>
      </w:pPr>
      <w:r w:rsidRPr="00B7069E">
        <w:t xml:space="preserve"> </w:t>
      </w:r>
    </w:p>
    <w:p w14:paraId="6A34F993" w14:textId="77777777" w:rsidR="00DB71C9" w:rsidRPr="003A7725" w:rsidRDefault="00DB71C9" w:rsidP="003A7725">
      <w:pPr>
        <w:ind w:left="1134" w:hanging="1134"/>
        <w:rPr>
          <w:color w:val="FF0000"/>
        </w:rPr>
      </w:pPr>
    </w:p>
    <w:p w14:paraId="5C7AAF21" w14:textId="77777777" w:rsidR="00051ED9" w:rsidRDefault="00562917" w:rsidP="00772BDC">
      <w:r w:rsidRPr="00E203C2">
        <w:br w:type="page"/>
      </w:r>
    </w:p>
    <w:p w14:paraId="699D5D67" w14:textId="77777777" w:rsidR="00E063C6" w:rsidRDefault="00F33BB8" w:rsidP="00465397">
      <w:pPr>
        <w:pStyle w:val="Heading1"/>
        <w:numPr>
          <w:ilvl w:val="0"/>
          <w:numId w:val="0"/>
        </w:numPr>
      </w:pPr>
      <w:bookmarkStart w:id="1" w:name="_Toc286391001"/>
      <w:bookmarkStart w:id="2" w:name="_Toc300933414"/>
      <w:bookmarkStart w:id="3" w:name="_Toc9417263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C79EE9E" w14:textId="5F23E53A" w:rsidR="00B31DDB" w:rsidRDefault="006A70B3" w:rsidP="00B31DDB">
      <w:pPr>
        <w:rPr>
          <w:lang w:val="en-US"/>
        </w:rPr>
      </w:pPr>
      <w:bookmarkStart w:id="9" w:name="_Toc286391003"/>
      <w:r>
        <w:rPr>
          <w:rFonts w:cs="Arial"/>
          <w:color w:val="0E101A"/>
          <w:szCs w:val="22"/>
        </w:rPr>
        <w:t>The food services sector is vitally important to the Australian economy and our way of life</w:t>
      </w:r>
      <w:r w:rsidR="00505947">
        <w:rPr>
          <w:rFonts w:cs="Arial"/>
          <w:color w:val="0E101A"/>
          <w:szCs w:val="22"/>
        </w:rPr>
        <w:t xml:space="preserve">. </w:t>
      </w:r>
      <w:r w:rsidR="00F16122">
        <w:rPr>
          <w:rFonts w:cs="Arial"/>
          <w:color w:val="0E101A"/>
          <w:szCs w:val="22"/>
        </w:rPr>
        <w:t>Many</w:t>
      </w:r>
      <w:r w:rsidR="00505947">
        <w:rPr>
          <w:rFonts w:cs="Arial"/>
          <w:color w:val="0E101A"/>
          <w:szCs w:val="22"/>
        </w:rPr>
        <w:t xml:space="preserve"> businesses do an excellent job in providing Australians with safe food, however a</w:t>
      </w:r>
      <w:r w:rsidR="00505947">
        <w:rPr>
          <w:lang w:val="en-US"/>
        </w:rPr>
        <w:t xml:space="preserve"> large proportion of reported foodborne illness cases (77% and </w:t>
      </w:r>
      <w:r w:rsidR="00505947" w:rsidRPr="005A436B">
        <w:rPr>
          <w:u w:color="FFFF00"/>
        </w:rPr>
        <w:t>up to 3.</w:t>
      </w:r>
      <w:r w:rsidR="00505947">
        <w:rPr>
          <w:u w:color="FFFF00"/>
        </w:rPr>
        <w:t>2</w:t>
      </w:r>
      <w:r w:rsidR="00505947" w:rsidRPr="005A436B">
        <w:rPr>
          <w:u w:color="FFFF00"/>
        </w:rPr>
        <w:t xml:space="preserve"> million cases</w:t>
      </w:r>
      <w:r w:rsidR="00505947">
        <w:rPr>
          <w:lang w:val="en-US"/>
        </w:rPr>
        <w:t>) are linked to the food service and retail sectors (referred to as food service sectors)</w:t>
      </w:r>
      <w:r w:rsidR="00505947">
        <w:t xml:space="preserve">. </w:t>
      </w:r>
      <w:r w:rsidR="00505947" w:rsidRPr="005A436B">
        <w:rPr>
          <w:u w:color="FFFF00"/>
        </w:rPr>
        <w:t xml:space="preserve">This is estimated </w:t>
      </w:r>
      <w:r w:rsidR="00505947">
        <w:rPr>
          <w:u w:color="FFFF00"/>
        </w:rPr>
        <w:t xml:space="preserve">to cost the Australian </w:t>
      </w:r>
      <w:r w:rsidR="00505947" w:rsidRPr="004F6958">
        <w:rPr>
          <w:u w:color="FFFF00"/>
        </w:rPr>
        <w:t>economy $1.5 billion per</w:t>
      </w:r>
      <w:r w:rsidR="00505947" w:rsidRPr="005A436B">
        <w:rPr>
          <w:u w:color="FFFF00"/>
        </w:rPr>
        <w:t xml:space="preserve"> year</w:t>
      </w:r>
      <w:r w:rsidR="00505947">
        <w:rPr>
          <w:lang w:val="en-US"/>
        </w:rPr>
        <w:t>. Reducing cases of foodborne illness in Australia and ensuring greater consistency across the sector remains a focus for stakeholders in the food regulatory system.</w:t>
      </w:r>
    </w:p>
    <w:p w14:paraId="7F1DC738" w14:textId="77777777" w:rsidR="00F16122" w:rsidRDefault="00F16122" w:rsidP="00B31DDB">
      <w:pPr>
        <w:rPr>
          <w:lang w:val="en-US"/>
        </w:rPr>
      </w:pPr>
    </w:p>
    <w:p w14:paraId="7CC3EFF9" w14:textId="77777777" w:rsidR="00B31DDB" w:rsidRDefault="00B31DDB" w:rsidP="00B31DDB">
      <w:pPr>
        <w:rPr>
          <w:color w:val="000000"/>
        </w:rPr>
      </w:pPr>
      <w:r>
        <w:rPr>
          <w:color w:val="000000"/>
        </w:rPr>
        <w:t xml:space="preserve">Focussing on food service sectors, Food Ministers requested </w:t>
      </w:r>
      <w:r>
        <w:rPr>
          <w:lang w:val="en-US"/>
        </w:rPr>
        <w:t xml:space="preserve">Food Standards Australia New Zealand (FSANZ) </w:t>
      </w:r>
      <w:r>
        <w:rPr>
          <w:color w:val="000000"/>
        </w:rPr>
        <w:t>review five food safety measures (three regulatory and two non-regulatory tools) and whether they would provide net benefit if applied in a well targeted manner to businesses</w:t>
      </w:r>
      <w:r w:rsidRPr="000353B3">
        <w:rPr>
          <w:color w:val="000000"/>
        </w:rPr>
        <w:t xml:space="preserve"> </w:t>
      </w:r>
      <w:r>
        <w:rPr>
          <w:color w:val="000000"/>
        </w:rPr>
        <w:t xml:space="preserve">in these sectors. </w:t>
      </w:r>
    </w:p>
    <w:p w14:paraId="03DA15BA" w14:textId="77777777" w:rsidR="00B31DDB" w:rsidRDefault="00B31DDB" w:rsidP="00B31DDB">
      <w:pPr>
        <w:rPr>
          <w:color w:val="000000"/>
        </w:rPr>
      </w:pPr>
    </w:p>
    <w:p w14:paraId="60803432" w14:textId="77777777" w:rsidR="00B31DDB" w:rsidRDefault="00B31DDB" w:rsidP="00B31DDB">
      <w:r>
        <w:rPr>
          <w:color w:val="000000"/>
        </w:rPr>
        <w:t xml:space="preserve">FSANZ </w:t>
      </w:r>
      <w:r>
        <w:rPr>
          <w:lang w:val="en-US"/>
        </w:rPr>
        <w:t xml:space="preserve">prepared and assessed a proposal reviewing the following three regulatory measures for food service businesses: </w:t>
      </w:r>
    </w:p>
    <w:p w14:paraId="315F41C6" w14:textId="77777777" w:rsidR="00B31DDB" w:rsidRDefault="00B31DDB" w:rsidP="00B31DDB">
      <w:pPr>
        <w:pStyle w:val="FSBullet1"/>
        <w:numPr>
          <w:ilvl w:val="0"/>
          <w:numId w:val="28"/>
        </w:numPr>
      </w:pPr>
      <w:r>
        <w:t>a certified food safety supervisor (FSS)</w:t>
      </w:r>
    </w:p>
    <w:p w14:paraId="2E6B1A14" w14:textId="77777777" w:rsidR="00B31DDB" w:rsidRDefault="00B31DDB" w:rsidP="00B31DDB">
      <w:pPr>
        <w:pStyle w:val="FSBullet1"/>
        <w:numPr>
          <w:ilvl w:val="0"/>
          <w:numId w:val="28"/>
        </w:numPr>
      </w:pPr>
      <w:r w:rsidRPr="00E43172">
        <w:t>food handler training</w:t>
      </w:r>
      <w:r>
        <w:t xml:space="preserve"> (FHT)</w:t>
      </w:r>
    </w:p>
    <w:p w14:paraId="5DD4403D" w14:textId="5FBEC882" w:rsidR="00B31DDB" w:rsidRDefault="00B31DDB" w:rsidP="00B31DDB">
      <w:pPr>
        <w:pStyle w:val="FSBullet1"/>
        <w:numPr>
          <w:ilvl w:val="0"/>
          <w:numId w:val="28"/>
        </w:numPr>
        <w:rPr>
          <w:lang w:val="en-US"/>
        </w:rPr>
      </w:pPr>
      <w:r>
        <w:t xml:space="preserve">evidence to substantiate food safety management </w:t>
      </w:r>
      <w:r w:rsidRPr="00F36B3D">
        <w:t>(E)</w:t>
      </w:r>
      <w:r>
        <w:t>.</w:t>
      </w:r>
      <w:r w:rsidRPr="00B84E32">
        <w:rPr>
          <w:lang w:val="en-US"/>
        </w:rPr>
        <w:t xml:space="preserve"> </w:t>
      </w:r>
    </w:p>
    <w:p w14:paraId="23CAFA97" w14:textId="77777777" w:rsidR="00D31CA5" w:rsidRDefault="00D31CA5" w:rsidP="00D31CA5">
      <w:pPr>
        <w:rPr>
          <w:lang w:val="en-US" w:bidi="ar-SA"/>
        </w:rPr>
      </w:pPr>
    </w:p>
    <w:p w14:paraId="5693F6E3" w14:textId="6ECD2D3B" w:rsidR="00D31CA5" w:rsidRPr="00D31CA5" w:rsidRDefault="00D31CA5" w:rsidP="00D31CA5">
      <w:pPr>
        <w:rPr>
          <w:lang w:val="en-US" w:bidi="ar-SA"/>
        </w:rPr>
      </w:pPr>
      <w:r>
        <w:rPr>
          <w:lang w:val="en-US" w:bidi="ar-SA"/>
        </w:rPr>
        <w:t>The two non-regulatory tools have been considered in the consultation regulatory impact statement (CRIS) associated with this proposal.</w:t>
      </w:r>
    </w:p>
    <w:p w14:paraId="32B14F3C" w14:textId="77777777" w:rsidR="00B31DDB" w:rsidRDefault="00B31DDB" w:rsidP="00B31DDB">
      <w:pPr>
        <w:rPr>
          <w:lang w:val="en-US"/>
        </w:rPr>
      </w:pPr>
    </w:p>
    <w:p w14:paraId="573979ED" w14:textId="77777777" w:rsidR="00B31DDB" w:rsidRDefault="00B31DDB" w:rsidP="00B31DDB">
      <w:pPr>
        <w:rPr>
          <w:b/>
          <w:lang w:val="en-US"/>
        </w:rPr>
      </w:pPr>
      <w:r w:rsidRPr="00A51E9C">
        <w:rPr>
          <w:b/>
          <w:lang w:val="en-US"/>
        </w:rPr>
        <w:t xml:space="preserve">Proposal assessment </w:t>
      </w:r>
    </w:p>
    <w:p w14:paraId="53075DBA" w14:textId="77777777" w:rsidR="00B31DDB" w:rsidRPr="00A51E9C" w:rsidRDefault="00B31DDB" w:rsidP="00B31DDB">
      <w:pPr>
        <w:rPr>
          <w:b/>
          <w:lang w:val="en-US"/>
        </w:rPr>
      </w:pPr>
    </w:p>
    <w:p w14:paraId="5CA3803C" w14:textId="1E34E2EE" w:rsidR="00B31DDB" w:rsidRPr="004E059A" w:rsidRDefault="00B31DDB" w:rsidP="00B31DDB">
      <w:pPr>
        <w:rPr>
          <w:lang w:val="en-US"/>
        </w:rPr>
      </w:pPr>
      <w:r>
        <w:rPr>
          <w:lang w:val="en-US"/>
        </w:rPr>
        <w:t>FSANZ assessed the extent of foodborne illness linked to food service businesses and identified key food handling activities where improvement</w:t>
      </w:r>
      <w:r w:rsidR="00E55282">
        <w:rPr>
          <w:lang w:val="en-US"/>
        </w:rPr>
        <w:t xml:space="preserve"> is needed</w:t>
      </w:r>
      <w:r>
        <w:rPr>
          <w:lang w:val="en-US"/>
        </w:rPr>
        <w:t xml:space="preserve">. We </w:t>
      </w:r>
      <w:r w:rsidRPr="004E059A">
        <w:rPr>
          <w:lang w:val="en-US"/>
        </w:rPr>
        <w:t xml:space="preserve">examined </w:t>
      </w:r>
      <w:r>
        <w:rPr>
          <w:lang w:val="en-US"/>
        </w:rPr>
        <w:t xml:space="preserve">national </w:t>
      </w:r>
      <w:r w:rsidRPr="004E059A">
        <w:rPr>
          <w:lang w:val="en-US"/>
        </w:rPr>
        <w:t xml:space="preserve">food safety requirements and international approaches. We considered the impact of additional tools </w:t>
      </w:r>
      <w:r w:rsidR="00E55282">
        <w:rPr>
          <w:lang w:val="en-US"/>
        </w:rPr>
        <w:t>to</w:t>
      </w:r>
      <w:r w:rsidRPr="004E059A">
        <w:rPr>
          <w:lang w:val="en-US"/>
        </w:rPr>
        <w:t xml:space="preserve"> improve food safety. Key findings are:</w:t>
      </w:r>
    </w:p>
    <w:p w14:paraId="077B6B92" w14:textId="77777777" w:rsidR="00B31DDB" w:rsidRPr="004E059A" w:rsidRDefault="00B31DDB" w:rsidP="00B31DDB">
      <w:pPr>
        <w:rPr>
          <w:lang w:val="en-US"/>
        </w:rPr>
      </w:pPr>
    </w:p>
    <w:p w14:paraId="24DA777D" w14:textId="77777777" w:rsidR="00B31DDB" w:rsidRPr="004E059A" w:rsidRDefault="00B31DDB" w:rsidP="00B31DDB">
      <w:pPr>
        <w:pStyle w:val="ListParagraph"/>
        <w:numPr>
          <w:ilvl w:val="0"/>
          <w:numId w:val="50"/>
        </w:numPr>
        <w:spacing w:after="240"/>
        <w:rPr>
          <w:color w:val="000000"/>
        </w:rPr>
      </w:pPr>
      <w:r w:rsidRPr="004E059A">
        <w:t>Food</w:t>
      </w:r>
      <w:r w:rsidRPr="004E059A">
        <w:rPr>
          <w:lang w:val="en-US"/>
        </w:rPr>
        <w:t xml:space="preserve"> service businesses have been linked to a large proportion of foodborne illness in Australia, and continue to be a significant source of illness. This indicates </w:t>
      </w:r>
      <w:r w:rsidRPr="004E059A">
        <w:rPr>
          <w:color w:val="000000"/>
        </w:rPr>
        <w:t xml:space="preserve">failures in key food handling activities for </w:t>
      </w:r>
      <w:r>
        <w:rPr>
          <w:color w:val="000000"/>
        </w:rPr>
        <w:t>potentially hazardous food (</w:t>
      </w:r>
      <w:r w:rsidRPr="004E059A">
        <w:rPr>
          <w:color w:val="000000"/>
        </w:rPr>
        <w:t>PHF</w:t>
      </w:r>
      <w:r>
        <w:rPr>
          <w:color w:val="000000"/>
        </w:rPr>
        <w:t>)</w:t>
      </w:r>
      <w:r w:rsidRPr="004E059A">
        <w:rPr>
          <w:color w:val="000000"/>
        </w:rPr>
        <w:t xml:space="preserve">. </w:t>
      </w:r>
    </w:p>
    <w:p w14:paraId="67ADE4ED" w14:textId="77777777" w:rsidR="00AD2A00" w:rsidRPr="004E059A" w:rsidRDefault="00AD2A00" w:rsidP="00120BD3">
      <w:pPr>
        <w:pStyle w:val="ListParagraph"/>
        <w:spacing w:after="240"/>
        <w:ind w:left="360"/>
        <w:rPr>
          <w:color w:val="000000"/>
        </w:rPr>
      </w:pPr>
    </w:p>
    <w:p w14:paraId="1BC9EE36" w14:textId="42E74D66" w:rsidR="00AD2A00" w:rsidRPr="00AD2A00" w:rsidRDefault="00AD2A00" w:rsidP="00AD2A00">
      <w:pPr>
        <w:pStyle w:val="ListParagraph"/>
        <w:numPr>
          <w:ilvl w:val="0"/>
          <w:numId w:val="50"/>
        </w:numPr>
        <w:rPr>
          <w:rFonts w:cs="Arial"/>
        </w:rPr>
      </w:pPr>
      <w:r w:rsidRPr="00AD2A00">
        <w:rPr>
          <w:rFonts w:cs="Arial"/>
        </w:rPr>
        <w:t xml:space="preserve">There were more </w:t>
      </w:r>
      <w:r>
        <w:rPr>
          <w:rFonts w:cs="Arial"/>
        </w:rPr>
        <w:t xml:space="preserve">and </w:t>
      </w:r>
      <w:r w:rsidRPr="00AD2A00">
        <w:rPr>
          <w:rFonts w:cs="Arial"/>
        </w:rPr>
        <w:t>varied sources of contamination, and</w:t>
      </w:r>
      <w:r w:rsidR="00500A83">
        <w:rPr>
          <w:rFonts w:cs="Arial"/>
        </w:rPr>
        <w:t xml:space="preserve"> additional</w:t>
      </w:r>
      <w:r w:rsidRPr="00AD2A00">
        <w:rPr>
          <w:rFonts w:cs="Arial"/>
        </w:rPr>
        <w:t xml:space="preserve"> factors supporting bacterial growth and survival, identified in outbreaks from restaurants, commercial caterers or take-away settings, compared to other settings. </w:t>
      </w:r>
    </w:p>
    <w:p w14:paraId="26FC6E36" w14:textId="77777777" w:rsidR="00AD2A00" w:rsidRDefault="00AD2A00" w:rsidP="0047216C">
      <w:pPr>
        <w:pStyle w:val="FSBullet1"/>
        <w:numPr>
          <w:ilvl w:val="0"/>
          <w:numId w:val="0"/>
        </w:numPr>
        <w:ind w:left="360"/>
      </w:pPr>
    </w:p>
    <w:p w14:paraId="6C26B9C5" w14:textId="77777777" w:rsidR="00B31DDB" w:rsidRPr="004E059A" w:rsidRDefault="00B31DDB" w:rsidP="00B31DDB">
      <w:pPr>
        <w:pStyle w:val="FSBullet1"/>
      </w:pPr>
      <w:r w:rsidRPr="004E059A">
        <w:t xml:space="preserve">To reduce foodborne illness, interventions targeted to food service sectors must be multi-faceted to address multiple high-risk food handling activities occurring in these sectors. </w:t>
      </w:r>
    </w:p>
    <w:p w14:paraId="24B19FB9" w14:textId="77777777" w:rsidR="00B31DDB" w:rsidRPr="003C6298" w:rsidRDefault="00B31DDB" w:rsidP="00B31DDB"/>
    <w:p w14:paraId="4D493813" w14:textId="34ABE885" w:rsidR="00B31DDB" w:rsidRPr="00ED1468" w:rsidRDefault="00B31DDB" w:rsidP="00B31DDB">
      <w:pPr>
        <w:pStyle w:val="FSBullet1"/>
        <w:spacing w:after="240"/>
        <w:rPr>
          <w:lang w:val="en-US"/>
        </w:rPr>
      </w:pPr>
      <w:r w:rsidRPr="00ED1468">
        <w:rPr>
          <w:lang w:val="en-US"/>
        </w:rPr>
        <w:t>Current food safety requirements in the Code lay foundations for the production of safe and suitable food</w:t>
      </w:r>
      <w:r w:rsidR="00D31CA5" w:rsidRPr="00ED1468">
        <w:rPr>
          <w:lang w:val="en-US"/>
        </w:rPr>
        <w:t>. However, they</w:t>
      </w:r>
      <w:r w:rsidRPr="00ED1468">
        <w:rPr>
          <w:lang w:val="en-US"/>
        </w:rPr>
        <w:t xml:space="preserve"> are inadequate for these sectors</w:t>
      </w:r>
      <w:r w:rsidR="0010037D" w:rsidRPr="00ED1468">
        <w:rPr>
          <w:lang w:val="en-US"/>
        </w:rPr>
        <w:t>,</w:t>
      </w:r>
      <w:r w:rsidRPr="00ED1468">
        <w:rPr>
          <w:lang w:val="en-US"/>
        </w:rPr>
        <w:t xml:space="preserve"> which are unique in preparing food </w:t>
      </w:r>
      <w:r w:rsidR="00D31CA5" w:rsidRPr="00ED1468">
        <w:rPr>
          <w:lang w:val="en-US"/>
        </w:rPr>
        <w:t>to be served directly to the consumer (for</w:t>
      </w:r>
      <w:r w:rsidRPr="00ED1468">
        <w:rPr>
          <w:lang w:val="en-US"/>
        </w:rPr>
        <w:t xml:space="preserve"> consumption without any further risk mitigation</w:t>
      </w:r>
      <w:r w:rsidR="00D31CA5" w:rsidRPr="00ED1468">
        <w:rPr>
          <w:lang w:val="en-US"/>
        </w:rPr>
        <w:t>)</w:t>
      </w:r>
      <w:r w:rsidRPr="00ED1468">
        <w:rPr>
          <w:lang w:val="en-US"/>
        </w:rPr>
        <w:t xml:space="preserve">. While some jurisdictions have implemented additional regulatory measures to strengthen national requirements, approaches are not consistent. </w:t>
      </w:r>
    </w:p>
    <w:p w14:paraId="0CF90FC4" w14:textId="351C3400" w:rsidR="00B31DDB" w:rsidRDefault="00B31DDB" w:rsidP="00B31DDB">
      <w:pPr>
        <w:pStyle w:val="FSBullet1"/>
        <w:spacing w:after="240"/>
      </w:pPr>
      <w:r w:rsidRPr="00EF0EFD">
        <w:t>International approaches</w:t>
      </w:r>
      <w:r>
        <w:t xml:space="preserve"> </w:t>
      </w:r>
      <w:r>
        <w:rPr>
          <w:lang w:val="en-US"/>
        </w:rPr>
        <w:t>to</w:t>
      </w:r>
      <w:r w:rsidRPr="00A83AD8">
        <w:rPr>
          <w:lang w:val="en-US"/>
        </w:rPr>
        <w:t xml:space="preserve"> food safety management</w:t>
      </w:r>
      <w:r w:rsidR="00500A83">
        <w:rPr>
          <w:lang w:val="en-US"/>
        </w:rPr>
        <w:t>,</w:t>
      </w:r>
      <w:r w:rsidRPr="00A83AD8">
        <w:rPr>
          <w:lang w:val="en-US"/>
        </w:rPr>
        <w:t xml:space="preserve"> </w:t>
      </w:r>
      <w:r>
        <w:rPr>
          <w:lang w:val="en-US"/>
        </w:rPr>
        <w:t xml:space="preserve">focus on preventing food safety issues. </w:t>
      </w:r>
      <w:r>
        <w:t xml:space="preserve">International guidance under </w:t>
      </w:r>
      <w:r w:rsidRPr="005E6225">
        <w:t>Codex</w:t>
      </w:r>
      <w:r>
        <w:t xml:space="preserve"> recognises that some food handling activities (such as temperature control; cleaning and sanitising)</w:t>
      </w:r>
      <w:r w:rsidR="00500A83">
        <w:t>,</w:t>
      </w:r>
      <w:r>
        <w:t xml:space="preserve"> require enhanced attention above good hygiene practices. </w:t>
      </w:r>
    </w:p>
    <w:p w14:paraId="49DE8408" w14:textId="4CE59841" w:rsidR="00B31DDB" w:rsidRDefault="00B31DDB" w:rsidP="00B31DDB">
      <w:pPr>
        <w:pStyle w:val="FSBullet1"/>
        <w:spacing w:after="240"/>
      </w:pPr>
      <w:r>
        <w:t xml:space="preserve">Australian </w:t>
      </w:r>
      <w:r w:rsidR="00D31CA5">
        <w:t xml:space="preserve">jurisdictions </w:t>
      </w:r>
      <w:r>
        <w:t xml:space="preserve">with additional requirements to support safe food handling (i.e. food safety supervisor and/or </w:t>
      </w:r>
      <w:r w:rsidR="00552FED">
        <w:t xml:space="preserve">promotion of </w:t>
      </w:r>
      <w:r>
        <w:t xml:space="preserve">additional food handler training), have seen improved food safety behaviours. These </w:t>
      </w:r>
      <w:r w:rsidR="00D31CA5">
        <w:t xml:space="preserve">jurisdictions </w:t>
      </w:r>
      <w:r>
        <w:t>have supporting resources available to implement these tools</w:t>
      </w:r>
      <w:r w:rsidR="008265D4">
        <w:t>,</w:t>
      </w:r>
      <w:r>
        <w:t xml:space="preserve"> that </w:t>
      </w:r>
      <w:r w:rsidR="008265D4">
        <w:t>could be</w:t>
      </w:r>
      <w:r>
        <w:t xml:space="preserve"> appl</w:t>
      </w:r>
      <w:r w:rsidR="008265D4">
        <w:t>ied</w:t>
      </w:r>
      <w:r>
        <w:t xml:space="preserve"> nationally.</w:t>
      </w:r>
    </w:p>
    <w:p w14:paraId="787BF8BA" w14:textId="40FFC8CA" w:rsidR="00B31DDB" w:rsidRDefault="00B31DDB" w:rsidP="00B31DDB">
      <w:r>
        <w:t xml:space="preserve">We considered stakeholder views provided </w:t>
      </w:r>
      <w:r w:rsidR="000436B6">
        <w:t>in response to previous consultation during the assessment process</w:t>
      </w:r>
      <w:r>
        <w:t>. Stakeholders generally support food regulatory measures for food service businesses</w:t>
      </w:r>
      <w:r w:rsidRPr="00A35431">
        <w:t xml:space="preserve"> </w:t>
      </w:r>
      <w:r>
        <w:t>to be nationally consistent. Industry raised concerns focused on additional burden and costs associated with implementation. There is agreement that skills and knowledge in these sectors need improvement</w:t>
      </w:r>
      <w:r w:rsidR="0032663E">
        <w:t xml:space="preserve"> and a</w:t>
      </w:r>
      <w:r>
        <w:t xml:space="preserve"> greater emphasis on food safety controls to mitigate key risks is needed. </w:t>
      </w:r>
    </w:p>
    <w:p w14:paraId="4701DEE5" w14:textId="77777777" w:rsidR="00B31DDB" w:rsidRDefault="00B31DDB" w:rsidP="00B31DDB"/>
    <w:p w14:paraId="2DD0E39D" w14:textId="5B209E33" w:rsidR="00B31DDB" w:rsidRDefault="00B31DDB" w:rsidP="00B31DDB">
      <w:pPr>
        <w:widowControl/>
      </w:pPr>
      <w:r>
        <w:t>FSANZ’s cost-benefit analysis</w:t>
      </w:r>
      <w:r w:rsidR="003B27C0">
        <w:t>, as</w:t>
      </w:r>
      <w:r>
        <w:t xml:space="preserve"> summarised in the consultation regulation impact statement (CRIS)</w:t>
      </w:r>
      <w:r w:rsidR="003B27C0">
        <w:t>,</w:t>
      </w:r>
      <w:r>
        <w:t xml:space="preserve"> indicates that a risk-proportionate approach for implementing additional food safety management tools provides a strong net benefit. </w:t>
      </w:r>
    </w:p>
    <w:p w14:paraId="41B8D181" w14:textId="77777777" w:rsidR="00B31DDB" w:rsidRDefault="00B31DDB" w:rsidP="00B31DDB">
      <w:pPr>
        <w:widowControl/>
      </w:pPr>
    </w:p>
    <w:p w14:paraId="6A4A290A" w14:textId="66470348" w:rsidR="00B31DDB" w:rsidRDefault="00B31DDB" w:rsidP="00B31DDB">
      <w:pPr>
        <w:pStyle w:val="FSBullet1"/>
        <w:numPr>
          <w:ilvl w:val="0"/>
          <w:numId w:val="0"/>
        </w:numPr>
      </w:pPr>
      <w:r w:rsidRPr="00F649FC">
        <w:t xml:space="preserve">Measures aimed at strong food safety awareness and knowledge of appropriate food </w:t>
      </w:r>
      <w:r w:rsidRPr="004E059A">
        <w:rPr>
          <w:lang w:val="en-US"/>
        </w:rPr>
        <w:t>handling</w:t>
      </w:r>
      <w:r w:rsidRPr="00F649FC">
        <w:t>—from initial receipt</w:t>
      </w:r>
      <w:r w:rsidR="003B27C0">
        <w:t>,</w:t>
      </w:r>
      <w:r w:rsidRPr="00F649FC">
        <w:t xml:space="preserve"> through all stages of processing, storage and service of food to consumers</w:t>
      </w:r>
      <w:r w:rsidR="00B21BFB" w:rsidRPr="00F649FC">
        <w:t>—</w:t>
      </w:r>
      <w:r w:rsidRPr="00F649FC">
        <w:t>supports reducing food safety risks. Targeted improvements are needed to help businesses manage critical food safety controls (e.g. food temperatures and sanitisation processes).</w:t>
      </w:r>
      <w:r w:rsidR="00B21BFB">
        <w:t xml:space="preserve"> </w:t>
      </w:r>
    </w:p>
    <w:p w14:paraId="3A15430B" w14:textId="77777777" w:rsidR="00B31DDB" w:rsidRPr="001A756F" w:rsidRDefault="00B31DDB" w:rsidP="00B31DDB"/>
    <w:p w14:paraId="5CB9D1BD" w14:textId="77777777" w:rsidR="00B31DDB" w:rsidRDefault="00B31DDB" w:rsidP="00B31DDB">
      <w:pPr>
        <w:rPr>
          <w:lang w:val="en-US"/>
        </w:rPr>
      </w:pPr>
      <w:r>
        <w:rPr>
          <w:b/>
          <w:lang w:val="en-US"/>
        </w:rPr>
        <w:t>Risk-proportionate</w:t>
      </w:r>
      <w:r w:rsidRPr="003E77E5">
        <w:rPr>
          <w:b/>
          <w:lang w:val="en-US"/>
        </w:rPr>
        <w:t xml:space="preserve"> </w:t>
      </w:r>
      <w:r>
        <w:rPr>
          <w:b/>
          <w:lang w:val="en-US"/>
        </w:rPr>
        <w:t>regulation</w:t>
      </w:r>
      <w:r>
        <w:rPr>
          <w:lang w:val="en-US"/>
        </w:rPr>
        <w:t xml:space="preserve"> </w:t>
      </w:r>
    </w:p>
    <w:p w14:paraId="5FB02A35" w14:textId="77777777" w:rsidR="00B31DDB" w:rsidRDefault="00B31DDB" w:rsidP="00B31DDB">
      <w:pPr>
        <w:rPr>
          <w:lang w:val="en-US"/>
        </w:rPr>
      </w:pPr>
    </w:p>
    <w:p w14:paraId="04501856" w14:textId="53BB0EF1" w:rsidR="00B31DDB" w:rsidRPr="00633154" w:rsidRDefault="00B31DDB" w:rsidP="00B31DDB">
      <w:pPr>
        <w:rPr>
          <w:lang w:val="en-US"/>
        </w:rPr>
      </w:pPr>
      <w:r w:rsidRPr="00633154">
        <w:rPr>
          <w:lang w:val="en-US"/>
        </w:rPr>
        <w:t xml:space="preserve">FSANZ </w:t>
      </w:r>
      <w:r w:rsidR="00CC2192">
        <w:rPr>
          <w:lang w:val="en-US"/>
        </w:rPr>
        <w:t xml:space="preserve">grouped </w:t>
      </w:r>
      <w:r>
        <w:rPr>
          <w:lang w:val="en-US"/>
        </w:rPr>
        <w:t>food service businesses into three broad categories</w:t>
      </w:r>
      <w:r w:rsidR="000C0772">
        <w:rPr>
          <w:lang w:val="en-US"/>
        </w:rPr>
        <w:t>,</w:t>
      </w:r>
      <w:r w:rsidRPr="002626DC">
        <w:rPr>
          <w:lang w:val="en-US"/>
        </w:rPr>
        <w:t xml:space="preserve"> </w:t>
      </w:r>
      <w:r>
        <w:rPr>
          <w:lang w:val="en-US"/>
        </w:rPr>
        <w:t xml:space="preserve">based on food safety risk and applied the proposed regulatory tools in a risk proportionate manner. </w:t>
      </w:r>
      <w:r w:rsidR="00552FED">
        <w:rPr>
          <w:lang w:eastAsia="en-AU" w:bidi="ar-SA"/>
        </w:rPr>
        <w:t>Those businesses with higher risks have more stringent requirements and more tools to manage their risks.</w:t>
      </w:r>
    </w:p>
    <w:p w14:paraId="0FC24FFF" w14:textId="77777777" w:rsidR="00B31DDB" w:rsidRDefault="00B31DDB" w:rsidP="00B31DDB">
      <w:pPr>
        <w:rPr>
          <w:lang w:val="en-US"/>
        </w:rPr>
      </w:pPr>
    </w:p>
    <w:p w14:paraId="2C839852" w14:textId="42B8C033" w:rsidR="00B31DDB" w:rsidRDefault="00B31DDB" w:rsidP="00B31DDB">
      <w:r w:rsidRPr="001750A9">
        <w:rPr>
          <w:u w:val="single"/>
        </w:rPr>
        <w:t>Category 1</w:t>
      </w:r>
      <w:r w:rsidRPr="0080420F">
        <w:rPr>
          <w:u w:val="single"/>
        </w:rPr>
        <w:t>:</w:t>
      </w:r>
      <w:r>
        <w:rPr>
          <w:b/>
        </w:rPr>
        <w:t xml:space="preserve"> </w:t>
      </w:r>
      <w:r w:rsidRPr="00EA0BDC">
        <w:t>Food service businesses, such as caterers (onsite and offsite), restaurants, takeaway</w:t>
      </w:r>
      <w:r>
        <w:t>s</w:t>
      </w:r>
      <w:r w:rsidRPr="00EA0BDC">
        <w:t xml:space="preserve"> and retailers who </w:t>
      </w:r>
      <w:r>
        <w:t>make and serve</w:t>
      </w:r>
      <w:r w:rsidRPr="00EA0BDC">
        <w:t xml:space="preserve"> </w:t>
      </w:r>
      <w:r>
        <w:t xml:space="preserve">PHF </w:t>
      </w:r>
      <w:r w:rsidRPr="00EA0BDC">
        <w:t>are considered</w:t>
      </w:r>
      <w:r w:rsidR="000B5A79">
        <w:t>.</w:t>
      </w:r>
      <w:r w:rsidRPr="00EA0BDC">
        <w:t xml:space="preserve"> Category 1 businesses</w:t>
      </w:r>
      <w:r>
        <w:t xml:space="preserve"> are associated with the highest food safety risks</w:t>
      </w:r>
      <w:r w:rsidRPr="00EA0BDC">
        <w:t>. Th</w:t>
      </w:r>
      <w:r>
        <w:t>r</w:t>
      </w:r>
      <w:r w:rsidRPr="00EA0BDC">
        <w:t>e</w:t>
      </w:r>
      <w:r>
        <w:t>e</w:t>
      </w:r>
      <w:r w:rsidRPr="00EA0BDC">
        <w:t xml:space="preserve"> </w:t>
      </w:r>
      <w:r>
        <w:t>regulatory</w:t>
      </w:r>
      <w:r w:rsidRPr="00EA0BDC">
        <w:t xml:space="preserve"> </w:t>
      </w:r>
      <w:r>
        <w:t xml:space="preserve">measures for food safety management (FSS, FHT, and E) </w:t>
      </w:r>
      <w:r w:rsidRPr="00EA0BDC">
        <w:t xml:space="preserve">are considered appropriate for these businesses. </w:t>
      </w:r>
    </w:p>
    <w:p w14:paraId="4F773B7C" w14:textId="77777777" w:rsidR="00B31DDB" w:rsidRDefault="00B31DDB" w:rsidP="00B31DDB"/>
    <w:p w14:paraId="2C31D8A4" w14:textId="77777777" w:rsidR="00B31DDB" w:rsidRPr="00AB43FF" w:rsidRDefault="00B31DDB" w:rsidP="00B31DDB">
      <w:r w:rsidRPr="001750A9">
        <w:rPr>
          <w:u w:val="single"/>
        </w:rPr>
        <w:t>Category 2</w:t>
      </w:r>
      <w:r w:rsidRPr="0080420F">
        <w:rPr>
          <w:u w:val="single"/>
        </w:rPr>
        <w:t>:</w:t>
      </w:r>
      <w:r>
        <w:rPr>
          <w:b/>
        </w:rPr>
        <w:t xml:space="preserve"> </w:t>
      </w:r>
      <w:r w:rsidRPr="00FA4801">
        <w:t xml:space="preserve">Retailers of unpackaged ready-to-eat </w:t>
      </w:r>
      <w:r>
        <w:t>PHF</w:t>
      </w:r>
      <w:r w:rsidRPr="00FA4801">
        <w:t xml:space="preserve"> are </w:t>
      </w:r>
      <w:r>
        <w:t>considered C</w:t>
      </w:r>
      <w:r w:rsidRPr="00FA4801">
        <w:t>ategory</w:t>
      </w:r>
      <w:r>
        <w:t xml:space="preserve"> 2 businesses</w:t>
      </w:r>
      <w:r w:rsidRPr="00FA4801">
        <w:t xml:space="preserve">. </w:t>
      </w:r>
      <w:r w:rsidRPr="00AB43FF">
        <w:t xml:space="preserve">Two </w:t>
      </w:r>
      <w:r>
        <w:t xml:space="preserve">new </w:t>
      </w:r>
      <w:r w:rsidRPr="00AB43FF">
        <w:t>regulatory food safety management tools (</w:t>
      </w:r>
      <w:r>
        <w:t>FSS and FHT)</w:t>
      </w:r>
      <w:r w:rsidRPr="00AB43FF">
        <w:t xml:space="preserve"> are considered appropriate</w:t>
      </w:r>
      <w:r>
        <w:t xml:space="preserve"> for Category 2 businesses. </w:t>
      </w:r>
    </w:p>
    <w:p w14:paraId="0F50E831" w14:textId="77777777" w:rsidR="00B31DDB" w:rsidRDefault="00B31DDB" w:rsidP="00B31DDB">
      <w:pPr>
        <w:rPr>
          <w:color w:val="548DD4" w:themeColor="text2" w:themeTint="99"/>
        </w:rPr>
      </w:pPr>
    </w:p>
    <w:p w14:paraId="2DE866C2" w14:textId="77777777" w:rsidR="00B31DDB" w:rsidRDefault="00B31DDB" w:rsidP="00B31DDB">
      <w:r w:rsidRPr="001750A9">
        <w:rPr>
          <w:u w:val="single"/>
        </w:rPr>
        <w:t>Category 3</w:t>
      </w:r>
      <w:r w:rsidRPr="0080420F">
        <w:rPr>
          <w:u w:val="single"/>
        </w:rPr>
        <w:t>:</w:t>
      </w:r>
      <w:r>
        <w:rPr>
          <w:b/>
        </w:rPr>
        <w:t xml:space="preserve"> </w:t>
      </w:r>
      <w:r w:rsidRPr="00AB43FF">
        <w:t xml:space="preserve">Retailers of pre-packaged ready-to-eat </w:t>
      </w:r>
      <w:r>
        <w:t xml:space="preserve">PHF, which remains packaged during sale, </w:t>
      </w:r>
      <w:r w:rsidRPr="00AB43FF">
        <w:t xml:space="preserve">are </w:t>
      </w:r>
      <w:r>
        <w:t>considered Category 3 businesses.</w:t>
      </w:r>
      <w:r w:rsidRPr="00AB43FF">
        <w:t xml:space="preserve"> </w:t>
      </w:r>
      <w:r>
        <w:t xml:space="preserve">No new regulatory measures would be applied to these businesses. </w:t>
      </w:r>
    </w:p>
    <w:p w14:paraId="47BAFAD7" w14:textId="77777777" w:rsidR="00B31DDB" w:rsidRPr="00CF38C5" w:rsidRDefault="00B31DDB" w:rsidP="00B31DDB"/>
    <w:p w14:paraId="6B35E631" w14:textId="77777777" w:rsidR="00B31DDB" w:rsidRDefault="00B31DDB" w:rsidP="00B31DDB">
      <w:pPr>
        <w:rPr>
          <w:b/>
          <w:lang w:val="en-US"/>
        </w:rPr>
      </w:pPr>
      <w:r w:rsidRPr="00960F39">
        <w:rPr>
          <w:b/>
          <w:lang w:val="en-US"/>
        </w:rPr>
        <w:t>Non-regulatory tools</w:t>
      </w:r>
    </w:p>
    <w:p w14:paraId="0DCCC8B6" w14:textId="77777777" w:rsidR="00B31DDB" w:rsidRPr="00960F39" w:rsidRDefault="00B31DDB" w:rsidP="00B31DDB">
      <w:pPr>
        <w:rPr>
          <w:b/>
          <w:lang w:val="en-US"/>
        </w:rPr>
      </w:pPr>
    </w:p>
    <w:p w14:paraId="043C989B" w14:textId="5D155C77" w:rsidR="00B31DDB" w:rsidRDefault="00B31DDB" w:rsidP="00B31DDB">
      <w:r w:rsidRPr="00960F39">
        <w:rPr>
          <w:lang w:val="en-US"/>
        </w:rPr>
        <w:t xml:space="preserve">For each category, </w:t>
      </w:r>
      <w:r w:rsidRPr="00960F39">
        <w:t xml:space="preserve">regulatory measures would be supported by non-regulatory tools that focus on food safety culture and education. For example, an education campaign </w:t>
      </w:r>
      <w:r>
        <w:t>targeted at C</w:t>
      </w:r>
      <w:r w:rsidRPr="00960F39">
        <w:t xml:space="preserve">ategory 3 businesses could focus on storage and display temperature of </w:t>
      </w:r>
      <w:r>
        <w:t xml:space="preserve">PHF. </w:t>
      </w:r>
      <w:r w:rsidRPr="00960F39">
        <w:t xml:space="preserve">Templates exist </w:t>
      </w:r>
      <w:r>
        <w:t xml:space="preserve">(e.g. in Safe Food Australia and on jurisdictional websites) </w:t>
      </w:r>
      <w:r w:rsidRPr="00960F39">
        <w:t xml:space="preserve">to assist businesses </w:t>
      </w:r>
      <w:r>
        <w:t>maintain</w:t>
      </w:r>
      <w:r w:rsidRPr="00960F39">
        <w:t xml:space="preserve"> temperature controls and</w:t>
      </w:r>
      <w:r>
        <w:t>,</w:t>
      </w:r>
      <w:r w:rsidRPr="00960F39">
        <w:t xml:space="preserve"> while not mandatory, could be used </w:t>
      </w:r>
      <w:r>
        <w:t>by C</w:t>
      </w:r>
      <w:r w:rsidRPr="00960F39">
        <w:t xml:space="preserve">ategory </w:t>
      </w:r>
      <w:r>
        <w:t>1</w:t>
      </w:r>
      <w:r w:rsidRPr="00960F39">
        <w:t xml:space="preserve"> businesses to meet the </w:t>
      </w:r>
      <w:r>
        <w:t xml:space="preserve">proposed </w:t>
      </w:r>
      <w:r w:rsidRPr="00960F39">
        <w:t>requirement</w:t>
      </w:r>
      <w:r>
        <w:t xml:space="preserve"> (E)</w:t>
      </w:r>
      <w:r w:rsidR="000B5A79">
        <w:t>,</w:t>
      </w:r>
      <w:r>
        <w:t xml:space="preserve"> to </w:t>
      </w:r>
      <w:r>
        <w:lastRenderedPageBreak/>
        <w:t>substantiate food safety management</w:t>
      </w:r>
      <w:r w:rsidRPr="00960F39">
        <w:t>.</w:t>
      </w:r>
      <w:r>
        <w:t xml:space="preserve"> </w:t>
      </w:r>
    </w:p>
    <w:p w14:paraId="23B72569" w14:textId="77777777" w:rsidR="00B31DDB" w:rsidRDefault="00B31DDB" w:rsidP="00B31DDB"/>
    <w:p w14:paraId="44230257" w14:textId="71C0FB78" w:rsidR="00B31DDB" w:rsidRPr="004E64E4" w:rsidRDefault="00B31DDB" w:rsidP="00B31DDB">
      <w:pPr>
        <w:rPr>
          <w:b/>
        </w:rPr>
      </w:pPr>
      <w:r w:rsidRPr="004E64E4">
        <w:rPr>
          <w:b/>
        </w:rPr>
        <w:t>Risk management options</w:t>
      </w:r>
    </w:p>
    <w:p w14:paraId="0E1D8B3E" w14:textId="77777777" w:rsidR="00B31DDB" w:rsidRDefault="00B31DDB" w:rsidP="00B31DDB"/>
    <w:p w14:paraId="1E736F84" w14:textId="67DE1792" w:rsidR="00B31DDB" w:rsidRDefault="00B31DDB" w:rsidP="00B31DDB">
      <w:pPr>
        <w:pStyle w:val="FSBullet1"/>
        <w:numPr>
          <w:ilvl w:val="0"/>
          <w:numId w:val="0"/>
        </w:numPr>
        <w:rPr>
          <w:rFonts w:eastAsia="Calibri"/>
        </w:rPr>
      </w:pPr>
      <w:r>
        <w:rPr>
          <w:color w:val="000000"/>
        </w:rPr>
        <w:t>W</w:t>
      </w:r>
      <w:r w:rsidRPr="000D649E">
        <w:rPr>
          <w:lang w:val="en-US"/>
        </w:rPr>
        <w:t xml:space="preserve">e </w:t>
      </w:r>
      <w:r>
        <w:t>considered several options, including the status quo, self-regulation and application of the regulato</w:t>
      </w:r>
      <w:r w:rsidR="00ED1468">
        <w:t>ry and non-regulatory measures.</w:t>
      </w:r>
    </w:p>
    <w:p w14:paraId="4D89D1F3" w14:textId="77777777" w:rsidR="00B31DDB" w:rsidRPr="003E3925" w:rsidRDefault="00B31DDB" w:rsidP="00B31DDB">
      <w:pPr>
        <w:rPr>
          <w:lang w:bidi="ar-SA"/>
        </w:rPr>
      </w:pPr>
    </w:p>
    <w:p w14:paraId="0789009E" w14:textId="6BD9DCCB" w:rsidR="0066469A" w:rsidRDefault="00B31DDB" w:rsidP="00552FED">
      <w:pPr>
        <w:pStyle w:val="FSBullet1"/>
        <w:numPr>
          <w:ilvl w:val="0"/>
          <w:numId w:val="0"/>
        </w:numPr>
      </w:pPr>
      <w:r>
        <w:t>Following assessment</w:t>
      </w:r>
      <w:r w:rsidR="0066469A">
        <w:t xml:space="preserve"> of the best available evidence and all relevant information</w:t>
      </w:r>
      <w:r>
        <w:t>, t</w:t>
      </w:r>
      <w:r>
        <w:rPr>
          <w:lang w:val="en-US"/>
        </w:rPr>
        <w:t xml:space="preserve">he </w:t>
      </w:r>
      <w:r w:rsidRPr="007069F8">
        <w:rPr>
          <w:lang w:val="en-US"/>
        </w:rPr>
        <w:t>preferred approach</w:t>
      </w:r>
      <w:r>
        <w:rPr>
          <w:lang w:val="en-US"/>
        </w:rPr>
        <w:t xml:space="preserve"> is to amend the Code to apply the regulatory measures to certain food service businesses</w:t>
      </w:r>
      <w:r w:rsidR="0066469A">
        <w:rPr>
          <w:lang w:val="en-US"/>
        </w:rPr>
        <w:t>. We propose applying these measures</w:t>
      </w:r>
      <w:r>
        <w:rPr>
          <w:lang w:val="en-US"/>
        </w:rPr>
        <w:t xml:space="preserve"> in a manner proportionate</w:t>
      </w:r>
      <w:r>
        <w:t xml:space="preserve"> to their food safety risks</w:t>
      </w:r>
      <w:r w:rsidR="00ED1468">
        <w:t xml:space="preserve"> and </w:t>
      </w:r>
      <w:r>
        <w:rPr>
          <w:lang w:val="en-US"/>
        </w:rPr>
        <w:t xml:space="preserve">consider </w:t>
      </w:r>
      <w:r w:rsidR="006F22A3">
        <w:rPr>
          <w:lang w:val="en-US"/>
        </w:rPr>
        <w:t xml:space="preserve">that </w:t>
      </w:r>
      <w:r>
        <w:rPr>
          <w:lang w:val="en-US"/>
        </w:rPr>
        <w:t xml:space="preserve">new requirements in the Code are </w:t>
      </w:r>
      <w:r>
        <w:t xml:space="preserve">practical, sustainable and readily implementable. </w:t>
      </w:r>
    </w:p>
    <w:p w14:paraId="37717D53" w14:textId="77777777" w:rsidR="0066469A" w:rsidRDefault="0066469A" w:rsidP="00552FED">
      <w:pPr>
        <w:pStyle w:val="FSBullet1"/>
        <w:numPr>
          <w:ilvl w:val="0"/>
          <w:numId w:val="0"/>
        </w:numPr>
      </w:pPr>
    </w:p>
    <w:p w14:paraId="6AD0ED47" w14:textId="1E4425F9" w:rsidR="00B31DDB" w:rsidRDefault="00552FED" w:rsidP="00552FED">
      <w:pPr>
        <w:pStyle w:val="FSBullet1"/>
        <w:numPr>
          <w:ilvl w:val="0"/>
          <w:numId w:val="0"/>
        </w:numPr>
      </w:pPr>
      <w:r>
        <w:t>T</w:t>
      </w:r>
      <w:r w:rsidR="00B31DDB">
        <w:t>hese regulatory tools enhance existing baseline requirements in the Code. They focus on improving busines</w:t>
      </w:r>
      <w:r w:rsidR="006F22A3">
        <w:t>ses</w:t>
      </w:r>
      <w:r w:rsidR="00B31DDB">
        <w:t xml:space="preserve"> food safety skills, knowledge and practices, based on our knowledge of which foods and their hazards are significant contributors to illness from these sectors.</w:t>
      </w:r>
    </w:p>
    <w:p w14:paraId="6C2BA2D8" w14:textId="77777777" w:rsidR="00B31DDB" w:rsidRDefault="00B31DDB" w:rsidP="00B31DDB"/>
    <w:p w14:paraId="61132197" w14:textId="21FAB0EA" w:rsidR="00B31DDB" w:rsidRDefault="00B31DDB" w:rsidP="00B31DDB">
      <w:pPr>
        <w:widowControl/>
        <w:rPr>
          <w:lang w:bidi="ar-SA"/>
        </w:rPr>
      </w:pPr>
      <w:r w:rsidRPr="00A36546">
        <w:rPr>
          <w:lang w:bidi="ar-SA"/>
        </w:rPr>
        <w:t xml:space="preserve">We prepared </w:t>
      </w:r>
      <w:r w:rsidR="00DE40E0" w:rsidRPr="00A36546">
        <w:rPr>
          <w:lang w:bidi="ar-SA"/>
        </w:rPr>
        <w:t xml:space="preserve">two draft food regulatory measures – a new draft Standard in Chapter 3 of the Code and a consequential variation to Standard 1.1.1 </w:t>
      </w:r>
      <w:r w:rsidR="004C402B" w:rsidRPr="00A36546">
        <w:rPr>
          <w:lang w:bidi="ar-SA"/>
        </w:rPr>
        <w:t xml:space="preserve">– </w:t>
      </w:r>
      <w:r w:rsidRPr="00A36546">
        <w:rPr>
          <w:lang w:bidi="ar-SA"/>
        </w:rPr>
        <w:t xml:space="preserve">to </w:t>
      </w:r>
      <w:r w:rsidRPr="00A36546">
        <w:t xml:space="preserve">reflect </w:t>
      </w:r>
      <w:r w:rsidR="00E0280C">
        <w:t>a</w:t>
      </w:r>
      <w:r w:rsidR="00E0280C" w:rsidRPr="00A36546">
        <w:t xml:space="preserve"> </w:t>
      </w:r>
      <w:r w:rsidRPr="00A36546">
        <w:t>risk proportionate regulatory approach.</w:t>
      </w:r>
      <w:r w:rsidRPr="00A36546">
        <w:rPr>
          <w:lang w:bidi="ar-SA"/>
        </w:rPr>
        <w:t xml:space="preserve"> These </w:t>
      </w:r>
      <w:r w:rsidR="00DE40E0" w:rsidRPr="00A36546">
        <w:rPr>
          <w:lang w:bidi="ar-SA"/>
        </w:rPr>
        <w:t xml:space="preserve">proposed </w:t>
      </w:r>
      <w:r w:rsidRPr="00A36546">
        <w:rPr>
          <w:lang w:bidi="ar-SA"/>
        </w:rPr>
        <w:t xml:space="preserve">measures </w:t>
      </w:r>
      <w:r w:rsidR="00DE40E0" w:rsidRPr="00A36546">
        <w:rPr>
          <w:lang w:bidi="ar-SA"/>
        </w:rPr>
        <w:t>are stated to commence</w:t>
      </w:r>
      <w:r w:rsidRPr="00A36546">
        <w:rPr>
          <w:lang w:bidi="ar-SA"/>
        </w:rPr>
        <w:t xml:space="preserve"> 12 months </w:t>
      </w:r>
      <w:r w:rsidR="00DE40E0" w:rsidRPr="00A36546">
        <w:rPr>
          <w:lang w:bidi="ar-SA"/>
        </w:rPr>
        <w:t>after their</w:t>
      </w:r>
      <w:r w:rsidRPr="00A36546">
        <w:rPr>
          <w:lang w:bidi="ar-SA"/>
        </w:rPr>
        <w:t xml:space="preserve"> gazettal. </w:t>
      </w:r>
      <w:r w:rsidR="00DE40E0" w:rsidRPr="00A36546">
        <w:rPr>
          <w:lang w:bidi="ar-SA"/>
        </w:rPr>
        <w:t>This means that, if</w:t>
      </w:r>
      <w:r w:rsidRPr="00A36546">
        <w:rPr>
          <w:lang w:bidi="ar-SA"/>
        </w:rPr>
        <w:t xml:space="preserve"> </w:t>
      </w:r>
      <w:r w:rsidR="00DE40E0" w:rsidRPr="00A36546">
        <w:rPr>
          <w:lang w:bidi="ar-SA"/>
        </w:rPr>
        <w:t xml:space="preserve">these measures are approved and </w:t>
      </w:r>
      <w:r w:rsidRPr="00A36546">
        <w:rPr>
          <w:lang w:bidi="ar-SA"/>
        </w:rPr>
        <w:t xml:space="preserve">gazetted, businesses and food regulators will have 12 months to implement </w:t>
      </w:r>
      <w:r w:rsidR="00DE40E0" w:rsidRPr="00A36546">
        <w:rPr>
          <w:lang w:bidi="ar-SA"/>
        </w:rPr>
        <w:t>them</w:t>
      </w:r>
      <w:r w:rsidRPr="00A36546">
        <w:rPr>
          <w:lang w:bidi="ar-SA"/>
        </w:rPr>
        <w:t>.</w:t>
      </w:r>
    </w:p>
    <w:p w14:paraId="35FC9810" w14:textId="77777777" w:rsidR="00B31DDB" w:rsidRDefault="00B31DDB" w:rsidP="00B31DDB">
      <w:pPr>
        <w:widowControl/>
        <w:rPr>
          <w:lang w:bidi="ar-SA"/>
        </w:rPr>
      </w:pPr>
    </w:p>
    <w:p w14:paraId="36628178" w14:textId="3BE8FDA1" w:rsidR="00B31DDB" w:rsidRPr="008E09D5" w:rsidRDefault="00B31DDB" w:rsidP="00B31DDB">
      <w:r w:rsidRPr="008E09D5">
        <w:t xml:space="preserve">FSANZ welcomes views on the assessment and on the </w:t>
      </w:r>
      <w:r>
        <w:t xml:space="preserve">proposed </w:t>
      </w:r>
      <w:r w:rsidRPr="008E09D5">
        <w:t>measures. These views will inform a decision by the FSANZ Board whether to reject, amend or approve the draft variation.</w:t>
      </w:r>
    </w:p>
    <w:p w14:paraId="7C0DA265" w14:textId="77777777" w:rsidR="00B31DDB" w:rsidRPr="008E09D5" w:rsidRDefault="00B31DDB" w:rsidP="00B31DDB"/>
    <w:p w14:paraId="321BF9AC" w14:textId="766E9719" w:rsidR="00B31DDB" w:rsidRDefault="00B31DDB" w:rsidP="00B31DDB">
      <w:r w:rsidRPr="008E09D5">
        <w:t>It is expected that this decis</w:t>
      </w:r>
      <w:r>
        <w:t>ion will be made in mid to late</w:t>
      </w:r>
      <w:r w:rsidRPr="008E09D5">
        <w:t xml:space="preserve"> 2022. If the Board decide</w:t>
      </w:r>
      <w:r w:rsidR="00051D51">
        <w:t>s</w:t>
      </w:r>
      <w:r w:rsidRPr="008E09D5">
        <w:t xml:space="preserve"> to approve a draft variation to the Code, that decision and variation must be referred to the Food Ministers Meeting for its consideration. If Ministers do not request a review of the variation, gazettal of the variation </w:t>
      </w:r>
      <w:r w:rsidR="00051D51">
        <w:t>w</w:t>
      </w:r>
      <w:r w:rsidRPr="008E09D5">
        <w:t xml:space="preserve">ould occur </w:t>
      </w:r>
      <w:r w:rsidR="00051D51">
        <w:t>around</w:t>
      </w:r>
      <w:r w:rsidRPr="008E09D5">
        <w:t xml:space="preserve"> </w:t>
      </w:r>
      <w:r>
        <w:t>October 2022.</w:t>
      </w:r>
    </w:p>
    <w:p w14:paraId="7646146C" w14:textId="77777777" w:rsidR="00B31DDB" w:rsidRDefault="00B31DDB" w:rsidP="00B31DDB"/>
    <w:p w14:paraId="798A645F" w14:textId="77777777" w:rsidR="00B31DDB" w:rsidRDefault="00B31DDB" w:rsidP="00B31DDB">
      <w:r>
        <w:t>This proposal and the draft variation would be apply only in Australia and not in New Zealand.</w:t>
      </w:r>
    </w:p>
    <w:p w14:paraId="4D399B81" w14:textId="77777777" w:rsidR="00B31DDB" w:rsidRPr="003A01FB" w:rsidRDefault="00B31DDB" w:rsidP="00B31DDB"/>
    <w:p w14:paraId="73F01B03" w14:textId="77777777" w:rsidR="00B31DDB" w:rsidRDefault="00B31DDB" w:rsidP="006675FB"/>
    <w:p w14:paraId="2658A968" w14:textId="6F74D6FF" w:rsidR="0053464E" w:rsidRDefault="0053464E" w:rsidP="006675FB">
      <w:r>
        <w:br w:type="page"/>
      </w:r>
    </w:p>
    <w:p w14:paraId="3267C1E4" w14:textId="77E22EDC" w:rsidR="002A5F8B" w:rsidRPr="000B6AF2" w:rsidRDefault="002A5F8B" w:rsidP="000B6AF2">
      <w:pPr>
        <w:pStyle w:val="Heading1"/>
      </w:pPr>
      <w:bookmarkStart w:id="10" w:name="_Toc300933417"/>
      <w:bookmarkStart w:id="11" w:name="_Toc94172640"/>
      <w:r w:rsidRPr="000B6AF2">
        <w:lastRenderedPageBreak/>
        <w:t>Introduction</w:t>
      </w:r>
      <w:bookmarkEnd w:id="9"/>
      <w:bookmarkEnd w:id="10"/>
      <w:bookmarkEnd w:id="11"/>
    </w:p>
    <w:p w14:paraId="14EDB135" w14:textId="66D15F29" w:rsidR="00DD0307" w:rsidRPr="004A51E6" w:rsidRDefault="0038082C" w:rsidP="004A51E6">
      <w:pPr>
        <w:rPr>
          <w:color w:val="000000"/>
        </w:rPr>
      </w:pPr>
      <w:r>
        <w:rPr>
          <w:color w:val="000000"/>
        </w:rPr>
        <w:t xml:space="preserve">This proposal builds on </w:t>
      </w:r>
      <w:r w:rsidR="00B87F32">
        <w:rPr>
          <w:color w:val="000000"/>
        </w:rPr>
        <w:t xml:space="preserve">a </w:t>
      </w:r>
      <w:r>
        <w:rPr>
          <w:color w:val="000000"/>
        </w:rPr>
        <w:t xml:space="preserve">significant </w:t>
      </w:r>
      <w:r w:rsidR="00B87F32">
        <w:rPr>
          <w:color w:val="000000"/>
        </w:rPr>
        <w:t xml:space="preserve">body of </w:t>
      </w:r>
      <w:r>
        <w:rPr>
          <w:color w:val="000000"/>
        </w:rPr>
        <w:t xml:space="preserve">work </w:t>
      </w:r>
      <w:r w:rsidR="0056309A">
        <w:rPr>
          <w:color w:val="000000"/>
        </w:rPr>
        <w:t xml:space="preserve">already undertaken </w:t>
      </w:r>
      <w:r w:rsidR="00B87F32">
        <w:rPr>
          <w:color w:val="000000"/>
        </w:rPr>
        <w:t>within</w:t>
      </w:r>
      <w:r w:rsidR="00EC0367">
        <w:rPr>
          <w:color w:val="000000"/>
        </w:rPr>
        <w:t xml:space="preserve"> </w:t>
      </w:r>
      <w:r>
        <w:rPr>
          <w:color w:val="000000"/>
        </w:rPr>
        <w:t>the food regulatory system</w:t>
      </w:r>
      <w:r w:rsidR="0056309A">
        <w:rPr>
          <w:color w:val="000000"/>
        </w:rPr>
        <w:t xml:space="preserve"> which has identified measures to manage food safety risks</w:t>
      </w:r>
      <w:r w:rsidR="0056309A" w:rsidRPr="0056309A">
        <w:rPr>
          <w:color w:val="000000"/>
        </w:rPr>
        <w:t xml:space="preserve"> </w:t>
      </w:r>
      <w:r w:rsidR="00EE05E6">
        <w:rPr>
          <w:color w:val="000000"/>
        </w:rPr>
        <w:t>in the food service and retail sectors</w:t>
      </w:r>
      <w:r>
        <w:rPr>
          <w:color w:val="000000"/>
        </w:rPr>
        <w:t xml:space="preserve">. </w:t>
      </w:r>
      <w:r w:rsidR="00D902CA">
        <w:rPr>
          <w:rFonts w:eastAsiaTheme="minorHAnsi" w:cs="Arial"/>
          <w:szCs w:val="22"/>
        </w:rPr>
        <w:t>F</w:t>
      </w:r>
      <w:r w:rsidR="00D902CA" w:rsidRPr="00D90680">
        <w:rPr>
          <w:rFonts w:eastAsiaTheme="minorHAnsi" w:cs="Arial"/>
          <w:szCs w:val="22"/>
        </w:rPr>
        <w:t xml:space="preserve">ood safety management </w:t>
      </w:r>
      <w:r w:rsidR="00EE05E6">
        <w:rPr>
          <w:rFonts w:eastAsiaTheme="minorHAnsi" w:cs="Arial"/>
          <w:szCs w:val="22"/>
        </w:rPr>
        <w:t>in</w:t>
      </w:r>
      <w:r w:rsidR="00EE05E6" w:rsidRPr="00D90680">
        <w:rPr>
          <w:rFonts w:eastAsiaTheme="minorHAnsi" w:cs="Arial"/>
          <w:szCs w:val="22"/>
        </w:rPr>
        <w:t xml:space="preserve"> </w:t>
      </w:r>
      <w:r w:rsidR="00EE05E6">
        <w:rPr>
          <w:rFonts w:eastAsiaTheme="minorHAnsi" w:cs="Arial"/>
          <w:szCs w:val="22"/>
        </w:rPr>
        <w:t>these</w:t>
      </w:r>
      <w:r w:rsidR="00D902CA">
        <w:rPr>
          <w:rFonts w:eastAsiaTheme="minorHAnsi" w:cs="Arial"/>
          <w:szCs w:val="22"/>
        </w:rPr>
        <w:t xml:space="preserve"> sectors</w:t>
      </w:r>
      <w:r w:rsidR="00D902CA" w:rsidRPr="00D90680">
        <w:rPr>
          <w:rFonts w:eastAsiaTheme="minorHAnsi" w:cs="Arial"/>
          <w:szCs w:val="22"/>
        </w:rPr>
        <w:t xml:space="preserve"> </w:t>
      </w:r>
      <w:r w:rsidR="0056309A">
        <w:rPr>
          <w:rFonts w:eastAsiaTheme="minorHAnsi" w:cs="Arial"/>
          <w:szCs w:val="22"/>
        </w:rPr>
        <w:t xml:space="preserve">remains </w:t>
      </w:r>
      <w:r w:rsidR="00D902CA" w:rsidRPr="00D90680">
        <w:rPr>
          <w:rFonts w:eastAsiaTheme="minorHAnsi" w:cs="Arial"/>
          <w:szCs w:val="22"/>
        </w:rPr>
        <w:t xml:space="preserve">a priority for </w:t>
      </w:r>
      <w:r w:rsidR="00086FEF">
        <w:rPr>
          <w:rFonts w:eastAsiaTheme="minorHAnsi" w:cs="Arial"/>
          <w:szCs w:val="22"/>
        </w:rPr>
        <w:t xml:space="preserve">food regulation </w:t>
      </w:r>
      <w:r w:rsidR="00D902CA" w:rsidRPr="00D90680">
        <w:rPr>
          <w:rFonts w:eastAsiaTheme="minorHAnsi" w:cs="Arial"/>
          <w:szCs w:val="22"/>
        </w:rPr>
        <w:t xml:space="preserve">and is included in </w:t>
      </w:r>
      <w:hyperlink r:id="rId22" w:history="1">
        <w:r w:rsidR="00D902CA" w:rsidRPr="00F5167D">
          <w:rPr>
            <w:rStyle w:val="Hyperlink"/>
            <w:rFonts w:eastAsiaTheme="minorHAnsi" w:cs="Arial"/>
            <w:szCs w:val="22"/>
          </w:rPr>
          <w:t>Australia’s National Foodborne Illness Reduction Strategy 2018-2021+</w:t>
        </w:r>
      </w:hyperlink>
      <w:r w:rsidR="00D902CA">
        <w:rPr>
          <w:rStyle w:val="FootnoteReference"/>
          <w:rFonts w:eastAsiaTheme="minorHAnsi" w:cs="Arial"/>
          <w:szCs w:val="22"/>
        </w:rPr>
        <w:footnoteReference w:id="2"/>
      </w:r>
      <w:r w:rsidR="00D902CA" w:rsidRPr="00D90680">
        <w:rPr>
          <w:rFonts w:eastAsiaTheme="minorHAnsi" w:cs="Arial"/>
          <w:szCs w:val="22"/>
        </w:rPr>
        <w:t xml:space="preserve"> under sector based initiative</w:t>
      </w:r>
      <w:r w:rsidR="00D902CA">
        <w:rPr>
          <w:rFonts w:eastAsiaTheme="minorHAnsi" w:cs="Arial"/>
          <w:szCs w:val="22"/>
        </w:rPr>
        <w:t>s</w:t>
      </w:r>
      <w:r w:rsidR="00D902CA" w:rsidRPr="00D90680">
        <w:rPr>
          <w:rFonts w:eastAsiaTheme="minorHAnsi" w:cs="Arial"/>
          <w:szCs w:val="22"/>
        </w:rPr>
        <w:t>.</w:t>
      </w:r>
      <w:r w:rsidR="00D902CA">
        <w:rPr>
          <w:rFonts w:eastAsiaTheme="minorHAnsi" w:cs="Arial"/>
          <w:szCs w:val="22"/>
        </w:rPr>
        <w:t xml:space="preserve"> </w:t>
      </w:r>
    </w:p>
    <w:p w14:paraId="6E893A90" w14:textId="66734595" w:rsidR="00AF387F" w:rsidRPr="000B6AF2" w:rsidRDefault="00741EFE" w:rsidP="000550EF">
      <w:pPr>
        <w:pStyle w:val="Heading2"/>
        <w:ind w:left="567"/>
        <w:rPr>
          <w:u w:color="FFFF00"/>
        </w:rPr>
      </w:pPr>
      <w:bookmarkStart w:id="12" w:name="_Toc286391007"/>
      <w:bookmarkStart w:id="13" w:name="_Toc300933423"/>
      <w:bookmarkStart w:id="14" w:name="_Toc94172641"/>
      <w:bookmarkStart w:id="15" w:name="_Toc175381432"/>
      <w:r>
        <w:rPr>
          <w:u w:color="FFFF00"/>
        </w:rPr>
        <w:t xml:space="preserve">Reasons for </w:t>
      </w:r>
      <w:bookmarkEnd w:id="12"/>
      <w:bookmarkEnd w:id="13"/>
      <w:r w:rsidR="00DE79D9" w:rsidRPr="00744353">
        <w:t xml:space="preserve">preparing the </w:t>
      </w:r>
      <w:r w:rsidR="004B2BE7">
        <w:t>p</w:t>
      </w:r>
      <w:r w:rsidR="00DE79D9" w:rsidRPr="00744353">
        <w:t>roposal</w:t>
      </w:r>
      <w:bookmarkEnd w:id="14"/>
    </w:p>
    <w:p w14:paraId="32D7ED97" w14:textId="625842B0" w:rsidR="009225AA" w:rsidRDefault="009225AA" w:rsidP="009225AA">
      <w:pPr>
        <w:rPr>
          <w:color w:val="000000"/>
        </w:rPr>
      </w:pPr>
      <w:bookmarkStart w:id="16" w:name="_Toc286391008"/>
      <w:bookmarkStart w:id="17" w:name="_Toc11735630"/>
      <w:bookmarkStart w:id="18" w:name="_Toc29883114"/>
      <w:bookmarkStart w:id="19" w:name="_Toc41906801"/>
      <w:bookmarkStart w:id="20" w:name="_Toc41907548"/>
      <w:bookmarkStart w:id="21" w:name="_Toc120358578"/>
      <w:bookmarkStart w:id="22" w:name="_Toc175381435"/>
      <w:bookmarkEnd w:id="4"/>
      <w:bookmarkEnd w:id="5"/>
      <w:bookmarkEnd w:id="6"/>
      <w:bookmarkEnd w:id="7"/>
      <w:bookmarkEnd w:id="8"/>
      <w:bookmarkEnd w:id="15"/>
      <w:r>
        <w:rPr>
          <w:color w:val="000000"/>
        </w:rPr>
        <w:t xml:space="preserve">Ministers requested FSANZ review several food safety measures </w:t>
      </w:r>
      <w:r w:rsidR="0049257C">
        <w:rPr>
          <w:color w:val="000000"/>
        </w:rPr>
        <w:t xml:space="preserve">proposed by the Food Safety Management Working Group (FSM WG) </w:t>
      </w:r>
      <w:r>
        <w:rPr>
          <w:color w:val="000000"/>
        </w:rPr>
        <w:t xml:space="preserve">that could be applied in these sectors and whether they would provide net benefit if applied in a targeted manner. </w:t>
      </w:r>
    </w:p>
    <w:p w14:paraId="7B2CBC9B" w14:textId="77777777" w:rsidR="009225AA" w:rsidRDefault="009225AA" w:rsidP="009225AA">
      <w:pPr>
        <w:rPr>
          <w:color w:val="000000"/>
        </w:rPr>
      </w:pPr>
    </w:p>
    <w:p w14:paraId="647ED4E3" w14:textId="205C0FAA" w:rsidR="004A51E6" w:rsidRDefault="009225AA" w:rsidP="009225AA">
      <w:pPr>
        <w:rPr>
          <w:color w:val="000000"/>
        </w:rPr>
      </w:pPr>
      <w:r>
        <w:t>FSANZ commenced p</w:t>
      </w:r>
      <w:r w:rsidRPr="005D3E40">
        <w:t>roposal P1053 in July 2019</w:t>
      </w:r>
      <w:r>
        <w:t>,</w:t>
      </w:r>
      <w:r w:rsidRPr="005D3E40">
        <w:t xml:space="preserve"> to consider </w:t>
      </w:r>
      <w:r>
        <w:t xml:space="preserve">amending the Code to include three </w:t>
      </w:r>
      <w:r>
        <w:rPr>
          <w:color w:val="000000"/>
        </w:rPr>
        <w:t>additional regulatory measures</w:t>
      </w:r>
      <w:r w:rsidRPr="007310CF">
        <w:rPr>
          <w:color w:val="000000"/>
        </w:rPr>
        <w:t xml:space="preserve"> </w:t>
      </w:r>
      <w:r>
        <w:rPr>
          <w:color w:val="000000"/>
        </w:rPr>
        <w:t xml:space="preserve">for these sectors. </w:t>
      </w:r>
    </w:p>
    <w:p w14:paraId="78644EBF" w14:textId="4EAA591A" w:rsidR="00DA16FB" w:rsidRPr="006675FB" w:rsidRDefault="004853DA" w:rsidP="005A436B">
      <w:pPr>
        <w:pStyle w:val="Heading2"/>
        <w:ind w:left="567"/>
        <w:rPr>
          <w:u w:color="FFFF00"/>
        </w:rPr>
      </w:pPr>
      <w:bookmarkStart w:id="23" w:name="_Toc94172642"/>
      <w:r w:rsidRPr="005A436B">
        <w:rPr>
          <w:u w:color="FFFF00"/>
        </w:rPr>
        <w:t>Current arrangements</w:t>
      </w:r>
      <w:bookmarkEnd w:id="23"/>
    </w:p>
    <w:p w14:paraId="74AC67D9" w14:textId="16B257D4" w:rsidR="004853DA" w:rsidRDefault="004853DA" w:rsidP="004853DA">
      <w:r>
        <w:t xml:space="preserve">Current food safety standards in </w:t>
      </w:r>
      <w:r w:rsidRPr="00914E1E">
        <w:t xml:space="preserve">Chapter 3 of the Code </w:t>
      </w:r>
      <w:r>
        <w:t xml:space="preserve">(particularly Standard 3.2.2) </w:t>
      </w:r>
      <w:r w:rsidRPr="00914E1E">
        <w:t xml:space="preserve">provide </w:t>
      </w:r>
      <w:r>
        <w:t>foundational hygiene requirements for food businesses in Australia</w:t>
      </w:r>
      <w:r w:rsidRPr="00914E1E">
        <w:t xml:space="preserve">. </w:t>
      </w:r>
      <w:r>
        <w:t xml:space="preserve">These standards aim to lower the incidence of foodborne illness, by placing obligations on </w:t>
      </w:r>
      <w:r w:rsidR="0056309A">
        <w:t xml:space="preserve">all </w:t>
      </w:r>
      <w:r>
        <w:t>food businesses to ensure only safe and suitable food is sold.</w:t>
      </w:r>
      <w:r w:rsidR="00CD7E65">
        <w:t xml:space="preserve"> </w:t>
      </w:r>
      <w:r w:rsidR="0049257C">
        <w:t>These standards are broad and were not developed with consideration of specific risks associated with the food service sector</w:t>
      </w:r>
      <w:r w:rsidR="0049257C" w:rsidRPr="0049257C">
        <w:rPr>
          <w:lang w:eastAsia="en-AU"/>
        </w:rPr>
        <w:t xml:space="preserve"> </w:t>
      </w:r>
      <w:r w:rsidR="0049257C">
        <w:rPr>
          <w:lang w:eastAsia="en-AU"/>
        </w:rPr>
        <w:t>and related sectors.</w:t>
      </w:r>
    </w:p>
    <w:p w14:paraId="1518F37C" w14:textId="77777777" w:rsidR="004853DA" w:rsidRPr="00914E1E" w:rsidRDefault="004853DA" w:rsidP="004853DA"/>
    <w:p w14:paraId="64008FC8" w14:textId="4E35A748" w:rsidR="004853DA" w:rsidRDefault="0056309A" w:rsidP="004853DA">
      <w:pPr>
        <w:rPr>
          <w:lang w:eastAsia="en-AU"/>
        </w:rPr>
      </w:pPr>
      <w:r>
        <w:rPr>
          <w:lang w:eastAsia="en-AU"/>
        </w:rPr>
        <w:t xml:space="preserve">Current food safety requirements specific to food service and related sectors is nationally inconsistent. </w:t>
      </w:r>
      <w:r w:rsidR="004853DA">
        <w:rPr>
          <w:lang w:eastAsia="en-AU"/>
        </w:rPr>
        <w:t xml:space="preserve">Over time, </w:t>
      </w:r>
      <w:r w:rsidR="007D4043">
        <w:rPr>
          <w:lang w:eastAsia="en-AU"/>
        </w:rPr>
        <w:t xml:space="preserve">with foodborne illness still occurring, </w:t>
      </w:r>
      <w:r>
        <w:rPr>
          <w:lang w:eastAsia="en-AU"/>
        </w:rPr>
        <w:t xml:space="preserve">some </w:t>
      </w:r>
      <w:r w:rsidR="004853DA">
        <w:rPr>
          <w:lang w:eastAsia="en-AU"/>
        </w:rPr>
        <w:t xml:space="preserve">states and territories introduced additional food safety management requirements to manage food safety problems in food service/retail settings. </w:t>
      </w:r>
      <w:r w:rsidR="00AE45CB">
        <w:rPr>
          <w:lang w:eastAsia="en-AU"/>
        </w:rPr>
        <w:t xml:space="preserve">Further detail is provided in </w:t>
      </w:r>
      <w:r w:rsidR="004C47E5">
        <w:rPr>
          <w:lang w:eastAsia="en-AU"/>
        </w:rPr>
        <w:t>s</w:t>
      </w:r>
      <w:r w:rsidR="00A9439C">
        <w:rPr>
          <w:lang w:eastAsia="en-AU"/>
        </w:rPr>
        <w:t xml:space="preserve">upporting </w:t>
      </w:r>
      <w:r w:rsidR="004C47E5">
        <w:rPr>
          <w:lang w:eastAsia="en-AU"/>
        </w:rPr>
        <w:t>d</w:t>
      </w:r>
      <w:r w:rsidR="00A9439C">
        <w:rPr>
          <w:lang w:eastAsia="en-AU"/>
        </w:rPr>
        <w:t xml:space="preserve">ocument </w:t>
      </w:r>
      <w:r w:rsidR="00567F36">
        <w:rPr>
          <w:lang w:eastAsia="en-AU"/>
        </w:rPr>
        <w:t>1</w:t>
      </w:r>
      <w:r w:rsidR="00A9439C">
        <w:rPr>
          <w:lang w:eastAsia="en-AU"/>
        </w:rPr>
        <w:t xml:space="preserve"> </w:t>
      </w:r>
      <w:r w:rsidR="00A9439C" w:rsidRPr="00FC252D">
        <w:rPr>
          <w:lang w:eastAsia="en-AU"/>
        </w:rPr>
        <w:t>(</w:t>
      </w:r>
      <w:r w:rsidR="00AE45CB" w:rsidRPr="00FC252D">
        <w:rPr>
          <w:lang w:eastAsia="en-AU"/>
        </w:rPr>
        <w:t>SD</w:t>
      </w:r>
      <w:r w:rsidR="00567F36" w:rsidRPr="00FC252D">
        <w:rPr>
          <w:lang w:eastAsia="en-AU"/>
        </w:rPr>
        <w:t>1</w:t>
      </w:r>
      <w:r w:rsidR="00A9439C" w:rsidRPr="00FC252D">
        <w:rPr>
          <w:lang w:eastAsia="en-AU"/>
        </w:rPr>
        <w:t>)</w:t>
      </w:r>
      <w:r w:rsidR="00AE45CB" w:rsidRPr="00FC252D">
        <w:rPr>
          <w:lang w:eastAsia="en-AU"/>
        </w:rPr>
        <w:t>.</w:t>
      </w:r>
    </w:p>
    <w:p w14:paraId="3CD99109" w14:textId="77777777" w:rsidR="004E5FF6" w:rsidRDefault="004E5FF6" w:rsidP="000550EF">
      <w:pPr>
        <w:pStyle w:val="Heading2"/>
        <w:ind w:left="567"/>
      </w:pPr>
      <w:bookmarkStart w:id="24" w:name="_Toc94172643"/>
      <w:r>
        <w:lastRenderedPageBreak/>
        <w:t>Procedure for assessment</w:t>
      </w:r>
      <w:bookmarkEnd w:id="24"/>
    </w:p>
    <w:p w14:paraId="28604193" w14:textId="65AF38D4" w:rsidR="004E5FF6" w:rsidRPr="000016FD" w:rsidRDefault="004E5FF6" w:rsidP="009F16F5">
      <w:r>
        <w:t>This</w:t>
      </w:r>
      <w:r w:rsidRPr="00744353">
        <w:t xml:space="preserve"> </w:t>
      </w:r>
      <w:r>
        <w:t>p</w:t>
      </w:r>
      <w:r w:rsidRPr="00744353">
        <w:t>roposal is being assessed under the General Procedure</w:t>
      </w:r>
      <w:r>
        <w:t xml:space="preserve"> with one </w:t>
      </w:r>
      <w:r w:rsidR="001728A9">
        <w:t xml:space="preserve">public call for submissions (CFS). </w:t>
      </w:r>
    </w:p>
    <w:p w14:paraId="33F3EF88" w14:textId="00126E06" w:rsidR="00E54219" w:rsidRDefault="00E54219" w:rsidP="000550EF">
      <w:pPr>
        <w:pStyle w:val="Heading2"/>
        <w:ind w:left="567"/>
        <w:rPr>
          <w:lang w:eastAsia="en-AU"/>
        </w:rPr>
      </w:pPr>
      <w:bookmarkStart w:id="25" w:name="_Toc94172644"/>
      <w:r>
        <w:rPr>
          <w:lang w:eastAsia="en-AU"/>
        </w:rPr>
        <w:t>Scope of the proposal</w:t>
      </w:r>
      <w:bookmarkEnd w:id="25"/>
    </w:p>
    <w:p w14:paraId="4B041731" w14:textId="7694822D" w:rsidR="00914DEE" w:rsidRPr="002D40F3" w:rsidRDefault="00914DEE" w:rsidP="00E54219">
      <w:pPr>
        <w:tabs>
          <w:tab w:val="left" w:pos="546"/>
          <w:tab w:val="right" w:pos="10200"/>
        </w:tabs>
      </w:pPr>
      <w:r>
        <w:t xml:space="preserve">Consistent with the Ministerial request, P1053 is assessing the application of three specific </w:t>
      </w:r>
      <w:r w:rsidR="0056309A">
        <w:t xml:space="preserve">regulatory </w:t>
      </w:r>
      <w:r>
        <w:t>food safety management tools to those food service and related retail businesses that handle unpackaged and ready to eat potentially hazardous food</w:t>
      </w:r>
      <w:r w:rsidR="00997711">
        <w:t xml:space="preserve"> (PHF)</w:t>
      </w:r>
      <w:r>
        <w:t>.</w:t>
      </w:r>
      <w:r w:rsidR="00FC252D">
        <w:t xml:space="preserve"> </w:t>
      </w:r>
      <w:r w:rsidR="0049257C">
        <w:t>While FSANZ proposals focus on regulatory interventions, t</w:t>
      </w:r>
      <w:r w:rsidR="0056309A">
        <w:t xml:space="preserve">he non-regulatory tools to support the regulatory measures are also </w:t>
      </w:r>
      <w:r w:rsidR="00EE05E6">
        <w:t>assessed</w:t>
      </w:r>
      <w:r w:rsidR="0049257C">
        <w:t xml:space="preserve"> in this proposal</w:t>
      </w:r>
      <w:r w:rsidR="00EE05E6">
        <w:t>.</w:t>
      </w:r>
    </w:p>
    <w:p w14:paraId="17577EE6" w14:textId="77777777" w:rsidR="00E54219" w:rsidRDefault="00E54219" w:rsidP="00E54219">
      <w:pPr>
        <w:tabs>
          <w:tab w:val="left" w:pos="546"/>
          <w:tab w:val="right" w:pos="10200"/>
        </w:tabs>
      </w:pPr>
    </w:p>
    <w:p w14:paraId="4A59893D" w14:textId="19599C91" w:rsidR="00E54219" w:rsidRPr="00171084" w:rsidRDefault="00764FE1" w:rsidP="00DA16FB">
      <w:pPr>
        <w:rPr>
          <w:lang w:eastAsia="en-AU"/>
        </w:rPr>
      </w:pPr>
      <w:r>
        <w:rPr>
          <w:lang w:eastAsia="en-AU"/>
        </w:rPr>
        <w:t>O</w:t>
      </w:r>
      <w:r w:rsidR="00E54219" w:rsidRPr="00036C23">
        <w:rPr>
          <w:lang w:eastAsia="en-AU"/>
        </w:rPr>
        <w:t>ther issues</w:t>
      </w:r>
      <w:r w:rsidR="00E54219">
        <w:rPr>
          <w:lang w:eastAsia="en-AU"/>
        </w:rPr>
        <w:t xml:space="preserve">, including allergen management, new technologies and technical issues such as duplication of </w:t>
      </w:r>
      <w:r w:rsidR="00E54219">
        <w:t>definitions,</w:t>
      </w:r>
      <w:r w:rsidR="00E54219" w:rsidRPr="00036C23">
        <w:rPr>
          <w:lang w:eastAsia="en-AU"/>
        </w:rPr>
        <w:t xml:space="preserve"> </w:t>
      </w:r>
      <w:r>
        <w:rPr>
          <w:lang w:eastAsia="en-AU"/>
        </w:rPr>
        <w:t>will be considered as part</w:t>
      </w:r>
      <w:r w:rsidR="00E54219" w:rsidRPr="00036C23">
        <w:rPr>
          <w:lang w:eastAsia="en-AU"/>
        </w:rPr>
        <w:t xml:space="preserve"> of the </w:t>
      </w:r>
      <w:r>
        <w:rPr>
          <w:lang w:eastAsia="en-AU"/>
        </w:rPr>
        <w:t xml:space="preserve">wider review of </w:t>
      </w:r>
      <w:r w:rsidR="00E54219" w:rsidRPr="00036C23">
        <w:rPr>
          <w:lang w:eastAsia="en-AU"/>
        </w:rPr>
        <w:t xml:space="preserve">Chapter </w:t>
      </w:r>
      <w:r w:rsidR="00E54219">
        <w:rPr>
          <w:lang w:eastAsia="en-AU"/>
        </w:rPr>
        <w:t xml:space="preserve">3 </w:t>
      </w:r>
      <w:r>
        <w:rPr>
          <w:lang w:eastAsia="en-AU"/>
        </w:rPr>
        <w:t>of the Code</w:t>
      </w:r>
      <w:r w:rsidR="00E54219">
        <w:rPr>
          <w:lang w:eastAsia="en-AU"/>
        </w:rPr>
        <w:t>.</w:t>
      </w:r>
    </w:p>
    <w:p w14:paraId="6C3C3EB9" w14:textId="77777777" w:rsidR="00DA16FB" w:rsidRDefault="00DA16FB" w:rsidP="00DA16FB">
      <w:pPr>
        <w:rPr>
          <w:lang w:val="en-AU"/>
        </w:rPr>
      </w:pPr>
    </w:p>
    <w:p w14:paraId="5498F3C2" w14:textId="1F1272FF" w:rsidR="00036C23" w:rsidRPr="00036C23" w:rsidRDefault="006A56F0" w:rsidP="00171084">
      <w:pPr>
        <w:pStyle w:val="Heading1"/>
      </w:pPr>
      <w:bookmarkStart w:id="26" w:name="_Toc94172645"/>
      <w:r>
        <w:t>Background</w:t>
      </w:r>
      <w:bookmarkEnd w:id="26"/>
    </w:p>
    <w:p w14:paraId="21796E31" w14:textId="77777777" w:rsidR="00A13E6D" w:rsidRDefault="00A13E6D" w:rsidP="00A13E6D">
      <w:r>
        <w:t xml:space="preserve">Our understanding of food safety risks in Australia and how best to manage those risks has advanced over the past 20 years. Significant contributions include: </w:t>
      </w:r>
    </w:p>
    <w:p w14:paraId="4A8503AD" w14:textId="77777777" w:rsidR="00A13E6D" w:rsidRDefault="00A13E6D" w:rsidP="00A13E6D">
      <w:pPr>
        <w:pStyle w:val="ListParagraph"/>
        <w:numPr>
          <w:ilvl w:val="0"/>
          <w:numId w:val="79"/>
        </w:numPr>
      </w:pPr>
      <w:r>
        <w:t xml:space="preserve">development and implementation of national food safety standards  </w:t>
      </w:r>
    </w:p>
    <w:p w14:paraId="6BEACE53" w14:textId="77777777" w:rsidR="00A13E6D" w:rsidRDefault="00A13E6D" w:rsidP="00A13E6D">
      <w:pPr>
        <w:pStyle w:val="ListParagraph"/>
        <w:numPr>
          <w:ilvl w:val="0"/>
          <w:numId w:val="79"/>
        </w:numPr>
      </w:pPr>
      <w:r>
        <w:t>risk-profiling work identifying food businesses with high food safety risks</w:t>
      </w:r>
    </w:p>
    <w:p w14:paraId="29FA351F" w14:textId="77777777" w:rsidR="00A13E6D" w:rsidRDefault="00A13E6D" w:rsidP="00A13E6D">
      <w:pPr>
        <w:pStyle w:val="ListParagraph"/>
        <w:numPr>
          <w:ilvl w:val="0"/>
          <w:numId w:val="79"/>
        </w:numPr>
      </w:pPr>
      <w:r>
        <w:t xml:space="preserve">evaluations of existing regulatory and non-regulatory measures </w:t>
      </w:r>
    </w:p>
    <w:p w14:paraId="7ED4C08C" w14:textId="77777777" w:rsidR="00A13E6D" w:rsidRDefault="00A13E6D" w:rsidP="00A13E6D">
      <w:pPr>
        <w:pStyle w:val="ListParagraph"/>
        <w:numPr>
          <w:ilvl w:val="0"/>
          <w:numId w:val="79"/>
        </w:numPr>
      </w:pPr>
      <w:r>
        <w:t xml:space="preserve">stakeholder consultations </w:t>
      </w:r>
    </w:p>
    <w:p w14:paraId="42EBB657" w14:textId="77777777" w:rsidR="00A13E6D" w:rsidRDefault="00A13E6D" w:rsidP="00A13E6D">
      <w:pPr>
        <w:pStyle w:val="ListParagraph"/>
        <w:numPr>
          <w:ilvl w:val="0"/>
          <w:numId w:val="79"/>
        </w:numPr>
      </w:pPr>
      <w:r>
        <w:t>review of Codex’s General Principles for Food Hygiene.</w:t>
      </w:r>
    </w:p>
    <w:p w14:paraId="67BF0EA1" w14:textId="77777777" w:rsidR="00A13E6D" w:rsidRDefault="00A13E6D" w:rsidP="00A13E6D"/>
    <w:p w14:paraId="27A12D54" w14:textId="77777777" w:rsidR="00A13E6D" w:rsidRPr="00A13E6D" w:rsidRDefault="00A13E6D" w:rsidP="00A13E6D">
      <w:pPr>
        <w:pStyle w:val="CommentText"/>
        <w:rPr>
          <w:sz w:val="22"/>
          <w:szCs w:val="24"/>
        </w:rPr>
      </w:pPr>
      <w:r w:rsidRPr="00A13E6D">
        <w:rPr>
          <w:sz w:val="22"/>
          <w:szCs w:val="24"/>
        </w:rPr>
        <w:t>Food safety management is strategically guided by a Ministerial Council/Forum</w:t>
      </w:r>
      <w:r w:rsidRPr="00A13E6D">
        <w:rPr>
          <w:sz w:val="22"/>
          <w:szCs w:val="24"/>
        </w:rPr>
        <w:footnoteReference w:id="3"/>
      </w:r>
      <w:r w:rsidRPr="00A13E6D">
        <w:rPr>
          <w:sz w:val="22"/>
          <w:szCs w:val="24"/>
        </w:rPr>
        <w:t xml:space="preserve"> and its associated committees: the Food Regulation Standing Committee (FRSC) and the Implementation Subcommittee for Food Regulation (ISFR). </w:t>
      </w:r>
    </w:p>
    <w:p w14:paraId="221FC273" w14:textId="6F7EE672" w:rsidR="00395391" w:rsidRDefault="00395391" w:rsidP="00764FE1">
      <w:pPr>
        <w:pStyle w:val="CommentText"/>
        <w:rPr>
          <w:sz w:val="22"/>
          <w:szCs w:val="22"/>
        </w:rPr>
      </w:pPr>
    </w:p>
    <w:p w14:paraId="725B9694" w14:textId="3BF2594F" w:rsidR="00395391" w:rsidRDefault="00395391" w:rsidP="00764FE1">
      <w:pPr>
        <w:pStyle w:val="CommentText"/>
        <w:rPr>
          <w:b/>
          <w:sz w:val="22"/>
          <w:szCs w:val="22"/>
        </w:rPr>
      </w:pPr>
      <w:r w:rsidRPr="00395391">
        <w:rPr>
          <w:b/>
          <w:sz w:val="22"/>
          <w:szCs w:val="22"/>
        </w:rPr>
        <w:t xml:space="preserve">Why </w:t>
      </w:r>
      <w:r w:rsidR="00DC1ACC">
        <w:rPr>
          <w:b/>
          <w:sz w:val="22"/>
          <w:szCs w:val="22"/>
        </w:rPr>
        <w:t>are these business the focus of this work</w:t>
      </w:r>
      <w:r w:rsidRPr="00395391">
        <w:rPr>
          <w:b/>
          <w:sz w:val="22"/>
          <w:szCs w:val="22"/>
        </w:rPr>
        <w:t>?</w:t>
      </w:r>
    </w:p>
    <w:p w14:paraId="5B58ED69" w14:textId="77777777" w:rsidR="00A13E6D" w:rsidRPr="00395391" w:rsidRDefault="00A13E6D" w:rsidP="00764FE1">
      <w:pPr>
        <w:pStyle w:val="CommentText"/>
        <w:rPr>
          <w:b/>
          <w:sz w:val="22"/>
          <w:szCs w:val="22"/>
        </w:rPr>
      </w:pPr>
    </w:p>
    <w:p w14:paraId="65577C56" w14:textId="3E893494" w:rsidR="00F300F5" w:rsidRDefault="00F300F5" w:rsidP="00F300F5">
      <w:r>
        <w:t>Food service and related retail businesses have many inherent food safety risks. Many of these businesses’ food handling activities involve PHF. This type of food, by its nature, can support the growth of harmful microorganisms (pathogens) and the production of harmful bacterial toxins, which can cause foodborne illness. PHF requires careful handling to avoid contamination. It must also be kept under strict temperature control to minimise bacterial growth and prevent toxin formation.</w:t>
      </w:r>
    </w:p>
    <w:p w14:paraId="6849DAC3" w14:textId="77777777" w:rsidR="00F300F5" w:rsidRDefault="00F300F5" w:rsidP="00F300F5"/>
    <w:p w14:paraId="745A5DC7" w14:textId="77777777" w:rsidR="00F300F5" w:rsidRDefault="00F300F5" w:rsidP="00F300F5">
      <w:r>
        <w:t xml:space="preserve">Food service and related retailers provide consumers with PHF that is ready to eat, either raw or without further cooking. That is, there is no further step before consumption that would destroy any pathogens present in the food. The ready-to-eat PHF presents a potentially high food safety risk, especially if it is not immediately consumed. </w:t>
      </w:r>
    </w:p>
    <w:p w14:paraId="49CC8D8F" w14:textId="77777777" w:rsidR="00F300F5" w:rsidRDefault="00F300F5" w:rsidP="00F300F5"/>
    <w:p w14:paraId="475F80F0" w14:textId="77777777" w:rsidR="00F300F5" w:rsidRDefault="00F300F5" w:rsidP="00F300F5">
      <w:r>
        <w:t>In addition, businesses in these sectors are, by their nature, challenging work environments. Food handlers often work under time pressure, in limited space, and with high staff turnover. Many businesses in these sectors are relatively small, with numerous competing priorities for owners. These factors all increase potential food safety risks.</w:t>
      </w:r>
    </w:p>
    <w:p w14:paraId="4E3EA8F6" w14:textId="77777777" w:rsidR="00395391" w:rsidRPr="00303395" w:rsidRDefault="00395391" w:rsidP="00764FE1">
      <w:pPr>
        <w:pStyle w:val="CommentText"/>
        <w:rPr>
          <w:sz w:val="22"/>
          <w:szCs w:val="22"/>
        </w:rPr>
      </w:pPr>
    </w:p>
    <w:p w14:paraId="3CF49AA8" w14:textId="11912D40" w:rsidR="00764FE1" w:rsidRDefault="00395391" w:rsidP="001A2C64">
      <w:pPr>
        <w:rPr>
          <w:b/>
          <w:lang w:val="en-AU"/>
        </w:rPr>
      </w:pPr>
      <w:r w:rsidRPr="00395391">
        <w:rPr>
          <w:b/>
          <w:lang w:val="en-AU"/>
        </w:rPr>
        <w:t>What has been done already?</w:t>
      </w:r>
    </w:p>
    <w:p w14:paraId="0981A574" w14:textId="77777777" w:rsidR="00A13E6D" w:rsidRPr="00395391" w:rsidRDefault="00A13E6D" w:rsidP="001A2C64">
      <w:pPr>
        <w:rPr>
          <w:b/>
          <w:lang w:val="en-AU"/>
        </w:rPr>
      </w:pPr>
    </w:p>
    <w:p w14:paraId="58C512D5" w14:textId="5EF57D9C" w:rsidR="001A2C64" w:rsidRDefault="00EE05E6" w:rsidP="001A2C64">
      <w:pPr>
        <w:rPr>
          <w:lang w:val="en-AU"/>
        </w:rPr>
      </w:pPr>
      <w:r>
        <w:rPr>
          <w:lang w:val="en-AU"/>
        </w:rPr>
        <w:t>T</w:t>
      </w:r>
      <w:r>
        <w:rPr>
          <w:lang w:eastAsia="en-AU"/>
        </w:rPr>
        <w:t xml:space="preserve">he </w:t>
      </w:r>
      <w:r>
        <w:rPr>
          <w:lang w:val="en-AU"/>
        </w:rPr>
        <w:t>F</w:t>
      </w:r>
      <w:r w:rsidRPr="004657C0">
        <w:rPr>
          <w:lang w:val="en-AU"/>
        </w:rPr>
        <w:t>SM WG under</w:t>
      </w:r>
      <w:r>
        <w:rPr>
          <w:lang w:val="en-AU"/>
        </w:rPr>
        <w:t xml:space="preserve"> the </w:t>
      </w:r>
      <w:r w:rsidRPr="004657C0">
        <w:rPr>
          <w:lang w:val="en-AU"/>
        </w:rPr>
        <w:t xml:space="preserve">FRSC </w:t>
      </w:r>
      <w:r>
        <w:rPr>
          <w:lang w:val="en-AU"/>
        </w:rPr>
        <w:t>has extensively</w:t>
      </w:r>
      <w:r w:rsidR="001A2C64" w:rsidRPr="004657C0">
        <w:rPr>
          <w:lang w:val="en-AU"/>
        </w:rPr>
        <w:t xml:space="preserve"> </w:t>
      </w:r>
      <w:r w:rsidR="009C2433">
        <w:rPr>
          <w:lang w:val="en-AU"/>
        </w:rPr>
        <w:t>consider</w:t>
      </w:r>
      <w:r>
        <w:rPr>
          <w:lang w:val="en-AU"/>
        </w:rPr>
        <w:t>ed</w:t>
      </w:r>
      <w:r w:rsidR="009C2433" w:rsidRPr="004657C0">
        <w:rPr>
          <w:lang w:val="en-AU"/>
        </w:rPr>
        <w:t xml:space="preserve"> </w:t>
      </w:r>
      <w:r w:rsidR="00E54219">
        <w:rPr>
          <w:lang w:val="en-AU"/>
        </w:rPr>
        <w:t xml:space="preserve">food safety </w:t>
      </w:r>
      <w:r w:rsidR="001A2C64" w:rsidRPr="004657C0">
        <w:rPr>
          <w:lang w:val="en-AU"/>
        </w:rPr>
        <w:t xml:space="preserve">measures </w:t>
      </w:r>
      <w:r>
        <w:rPr>
          <w:lang w:eastAsia="en-AU"/>
        </w:rPr>
        <w:t xml:space="preserve">for </w:t>
      </w:r>
      <w:r w:rsidR="00491956">
        <w:rPr>
          <w:lang w:eastAsia="en-AU"/>
        </w:rPr>
        <w:t xml:space="preserve">food service and </w:t>
      </w:r>
      <w:r w:rsidR="00E54219">
        <w:rPr>
          <w:lang w:eastAsia="en-AU"/>
        </w:rPr>
        <w:t>retail settings</w:t>
      </w:r>
      <w:r>
        <w:rPr>
          <w:lang w:eastAsia="en-AU"/>
        </w:rPr>
        <w:t xml:space="preserve"> </w:t>
      </w:r>
      <w:r>
        <w:rPr>
          <w:lang w:val="en-AU"/>
        </w:rPr>
        <w:t>and</w:t>
      </w:r>
      <w:r w:rsidRPr="004657C0">
        <w:rPr>
          <w:lang w:val="en-AU"/>
        </w:rPr>
        <w:t xml:space="preserve"> </w:t>
      </w:r>
      <w:r w:rsidR="001A2C64" w:rsidRPr="004657C0">
        <w:rPr>
          <w:lang w:val="en-AU"/>
        </w:rPr>
        <w:t>identif</w:t>
      </w:r>
      <w:r>
        <w:rPr>
          <w:lang w:val="en-AU"/>
        </w:rPr>
        <w:t>ied</w:t>
      </w:r>
      <w:r w:rsidR="001A2C64" w:rsidRPr="004657C0">
        <w:rPr>
          <w:lang w:val="en-AU"/>
        </w:rPr>
        <w:t xml:space="preserve"> </w:t>
      </w:r>
      <w:r w:rsidR="006333C2">
        <w:rPr>
          <w:lang w:val="en-AU"/>
        </w:rPr>
        <w:t>measures</w:t>
      </w:r>
      <w:r w:rsidR="000027DA">
        <w:rPr>
          <w:lang w:val="en-AU"/>
        </w:rPr>
        <w:t xml:space="preserve"> to minimise food safety risk</w:t>
      </w:r>
      <w:r w:rsidR="001A2C64" w:rsidRPr="004657C0">
        <w:rPr>
          <w:lang w:val="en-AU"/>
        </w:rPr>
        <w:t xml:space="preserve">. </w:t>
      </w:r>
      <w:r w:rsidR="000E0533">
        <w:rPr>
          <w:lang w:val="en-AU"/>
        </w:rPr>
        <w:t xml:space="preserve">This significant body of work </w:t>
      </w:r>
      <w:r w:rsidR="001A2C64">
        <w:rPr>
          <w:lang w:val="en-AU"/>
        </w:rPr>
        <w:t>includes</w:t>
      </w:r>
      <w:r w:rsidR="001A2C64" w:rsidRPr="004657C0">
        <w:rPr>
          <w:lang w:val="en-AU"/>
        </w:rPr>
        <w:t xml:space="preserve"> government-commissioned research, technical analyses</w:t>
      </w:r>
      <w:r w:rsidR="000E0533">
        <w:rPr>
          <w:lang w:val="en-AU"/>
        </w:rPr>
        <w:t>,</w:t>
      </w:r>
      <w:r w:rsidR="001A2C64" w:rsidRPr="004657C0">
        <w:rPr>
          <w:lang w:val="en-AU"/>
        </w:rPr>
        <w:t xml:space="preserve"> stakeholder consultations</w:t>
      </w:r>
      <w:r w:rsidR="000E0533" w:rsidRPr="000E0533">
        <w:rPr>
          <w:lang w:val="en-AU"/>
        </w:rPr>
        <w:t xml:space="preserve"> </w:t>
      </w:r>
      <w:r w:rsidR="000E0533" w:rsidRPr="004657C0">
        <w:rPr>
          <w:lang w:val="en-AU"/>
        </w:rPr>
        <w:t xml:space="preserve">and </w:t>
      </w:r>
      <w:r w:rsidR="000E0533">
        <w:rPr>
          <w:lang w:val="en-AU"/>
        </w:rPr>
        <w:t>policy and guideline development</w:t>
      </w:r>
      <w:r w:rsidR="001A2C64" w:rsidRPr="004657C0">
        <w:rPr>
          <w:lang w:val="en-AU"/>
        </w:rPr>
        <w:t xml:space="preserve">. </w:t>
      </w:r>
      <w:r w:rsidR="00F6100F">
        <w:rPr>
          <w:lang w:val="en-AU"/>
        </w:rPr>
        <w:t>FSANZ released a discussion paper which outlines in more detail the history of work and key decisions which led to P1053</w:t>
      </w:r>
      <w:r w:rsidR="00F6100F">
        <w:rPr>
          <w:rStyle w:val="FootnoteReference"/>
          <w:lang w:val="en-AU"/>
        </w:rPr>
        <w:footnoteReference w:id="4"/>
      </w:r>
      <w:r w:rsidR="00F6100F">
        <w:rPr>
          <w:lang w:val="en-AU"/>
        </w:rPr>
        <w:t xml:space="preserve">. </w:t>
      </w:r>
      <w:r w:rsidR="00BC7FEA">
        <w:rPr>
          <w:lang w:val="en-AU"/>
        </w:rPr>
        <w:t>A brief summary of key guiding documents and outcomes is below.</w:t>
      </w:r>
    </w:p>
    <w:p w14:paraId="0AE0C575" w14:textId="24BE8184" w:rsidR="00A13E6D" w:rsidRDefault="00A13E6D" w:rsidP="001A2C64">
      <w:pPr>
        <w:rPr>
          <w:lang w:val="en-AU"/>
        </w:rPr>
      </w:pPr>
    </w:p>
    <w:p w14:paraId="3B7B6F48" w14:textId="77777777" w:rsidR="00A13E6D" w:rsidRPr="004657C0" w:rsidRDefault="00A13E6D" w:rsidP="001A2C64">
      <w:pPr>
        <w:rPr>
          <w:lang w:val="en-AU"/>
        </w:rPr>
      </w:pPr>
    </w:p>
    <w:p w14:paraId="3768B2E2" w14:textId="0139FE70" w:rsidR="008E4477" w:rsidRDefault="008E4477" w:rsidP="008E4477"/>
    <w:p w14:paraId="54F92F2B" w14:textId="5DEAD4D1" w:rsidR="00C439D2" w:rsidRPr="00C439D2" w:rsidRDefault="00C439D2" w:rsidP="00C439D2">
      <w:pPr>
        <w:pStyle w:val="Caption"/>
        <w:keepNext/>
        <w:rPr>
          <w:b/>
          <w:color w:val="auto"/>
        </w:rPr>
      </w:pPr>
      <w:r w:rsidRPr="00C439D2">
        <w:rPr>
          <w:b/>
          <w:color w:val="auto"/>
        </w:rPr>
        <w:lastRenderedPageBreak/>
        <w:t xml:space="preserve">Table </w:t>
      </w:r>
      <w:r w:rsidRPr="00C439D2">
        <w:rPr>
          <w:b/>
          <w:color w:val="auto"/>
        </w:rPr>
        <w:fldChar w:fldCharType="begin"/>
      </w:r>
      <w:r w:rsidRPr="00C439D2">
        <w:rPr>
          <w:b/>
          <w:color w:val="auto"/>
        </w:rPr>
        <w:instrText xml:space="preserve"> SEQ Table \* ARABIC </w:instrText>
      </w:r>
      <w:r w:rsidRPr="00C439D2">
        <w:rPr>
          <w:b/>
          <w:color w:val="auto"/>
        </w:rPr>
        <w:fldChar w:fldCharType="separate"/>
      </w:r>
      <w:r w:rsidR="00302799">
        <w:rPr>
          <w:b/>
          <w:noProof/>
          <w:color w:val="auto"/>
        </w:rPr>
        <w:t>1</w:t>
      </w:r>
      <w:r w:rsidRPr="00C439D2">
        <w:rPr>
          <w:b/>
          <w:color w:val="auto"/>
        </w:rPr>
        <w:fldChar w:fldCharType="end"/>
      </w:r>
      <w:r w:rsidRPr="00C439D2">
        <w:rPr>
          <w:b/>
          <w:color w:val="auto"/>
        </w:rPr>
        <w:t>: Chronology of work completed by the food regulatory sy</w:t>
      </w:r>
      <w:r>
        <w:rPr>
          <w:b/>
          <w:color w:val="auto"/>
        </w:rPr>
        <w:t>s</w:t>
      </w:r>
      <w:r w:rsidRPr="00C439D2">
        <w:rPr>
          <w:b/>
          <w:color w:val="auto"/>
        </w:rPr>
        <w:t>tem</w:t>
      </w:r>
    </w:p>
    <w:tbl>
      <w:tblPr>
        <w:tblStyle w:val="TableGrid"/>
        <w:tblW w:w="10201" w:type="dxa"/>
        <w:tblLook w:val="04A0" w:firstRow="1" w:lastRow="0" w:firstColumn="1" w:lastColumn="0" w:noHBand="0" w:noVBand="1"/>
      </w:tblPr>
      <w:tblGrid>
        <w:gridCol w:w="809"/>
        <w:gridCol w:w="2730"/>
        <w:gridCol w:w="6662"/>
      </w:tblGrid>
      <w:tr w:rsidR="000E0533" w14:paraId="300C007E" w14:textId="77777777" w:rsidTr="00DC1ACC">
        <w:tc>
          <w:tcPr>
            <w:tcW w:w="809" w:type="dxa"/>
            <w:shd w:val="clear" w:color="auto" w:fill="D9D9D9" w:themeFill="background1" w:themeFillShade="D9"/>
          </w:tcPr>
          <w:p w14:paraId="140E68D2" w14:textId="77DC99FF" w:rsidR="000E0533" w:rsidRPr="00DC1ACC" w:rsidRDefault="00DC1ACC" w:rsidP="008E4477">
            <w:pPr>
              <w:rPr>
                <w:b/>
              </w:rPr>
            </w:pPr>
            <w:r w:rsidRPr="00DC1ACC">
              <w:rPr>
                <w:b/>
              </w:rPr>
              <w:t>Year</w:t>
            </w:r>
          </w:p>
        </w:tc>
        <w:tc>
          <w:tcPr>
            <w:tcW w:w="2730" w:type="dxa"/>
            <w:shd w:val="clear" w:color="auto" w:fill="D9D9D9" w:themeFill="background1" w:themeFillShade="D9"/>
          </w:tcPr>
          <w:p w14:paraId="07D7FF9B" w14:textId="28910F5B" w:rsidR="000E0533" w:rsidRPr="00BC7FEA" w:rsidRDefault="00BC7FEA" w:rsidP="008E4477">
            <w:pPr>
              <w:rPr>
                <w:b/>
              </w:rPr>
            </w:pPr>
            <w:r w:rsidRPr="00BC7FEA">
              <w:rPr>
                <w:b/>
              </w:rPr>
              <w:t>Guiding document</w:t>
            </w:r>
          </w:p>
        </w:tc>
        <w:tc>
          <w:tcPr>
            <w:tcW w:w="6662" w:type="dxa"/>
            <w:shd w:val="clear" w:color="auto" w:fill="D9D9D9" w:themeFill="background1" w:themeFillShade="D9"/>
          </w:tcPr>
          <w:p w14:paraId="0475A372" w14:textId="319BB1EC" w:rsidR="000E0533" w:rsidRPr="00BC7FEA" w:rsidRDefault="00BC7FEA" w:rsidP="008E4477">
            <w:pPr>
              <w:rPr>
                <w:b/>
              </w:rPr>
            </w:pPr>
            <w:r w:rsidRPr="00BC7FEA">
              <w:rPr>
                <w:b/>
              </w:rPr>
              <w:t>Outcome</w:t>
            </w:r>
          </w:p>
        </w:tc>
      </w:tr>
      <w:tr w:rsidR="000E0533" w14:paraId="319BAECB" w14:textId="77777777" w:rsidTr="00580B7D">
        <w:tc>
          <w:tcPr>
            <w:tcW w:w="809" w:type="dxa"/>
          </w:tcPr>
          <w:p w14:paraId="577B9E77" w14:textId="6D17DA9D" w:rsidR="000E0533" w:rsidRDefault="000E0533" w:rsidP="008E4477">
            <w:r>
              <w:t>2003</w:t>
            </w:r>
          </w:p>
        </w:tc>
        <w:tc>
          <w:tcPr>
            <w:tcW w:w="2730" w:type="dxa"/>
          </w:tcPr>
          <w:p w14:paraId="3C7B1A04" w14:textId="31799B75" w:rsidR="000E0533" w:rsidRDefault="000E0533" w:rsidP="008E4477">
            <w:r>
              <w:rPr>
                <w:lang w:val="en-AU"/>
              </w:rPr>
              <w:t>Minist</w:t>
            </w:r>
            <w:r w:rsidRPr="00C53FAD">
              <w:rPr>
                <w:lang w:val="en-AU"/>
              </w:rPr>
              <w:t>erial Policy Guidelines on Food Safety Management in Australia: Food Safety Programs</w:t>
            </w:r>
          </w:p>
        </w:tc>
        <w:tc>
          <w:tcPr>
            <w:tcW w:w="6662" w:type="dxa"/>
          </w:tcPr>
          <w:p w14:paraId="111CCAB0" w14:textId="0B9AB57D" w:rsidR="000E0533" w:rsidRDefault="00BC7FEA" w:rsidP="008E4477">
            <w:r>
              <w:t>Identifies f</w:t>
            </w:r>
            <w:r w:rsidR="000E0533">
              <w:t>our high-risk areas contributing to foodborne illness outbreaks:</w:t>
            </w:r>
          </w:p>
          <w:p w14:paraId="38B45F47" w14:textId="77777777" w:rsidR="000E0533" w:rsidRDefault="000E0533" w:rsidP="008E4477"/>
          <w:p w14:paraId="1B6DE1B9" w14:textId="77777777" w:rsidR="000E0533" w:rsidRDefault="000E0533" w:rsidP="00BC7FEA">
            <w:pPr>
              <w:pStyle w:val="ListParagraph"/>
              <w:numPr>
                <w:ilvl w:val="0"/>
                <w:numId w:val="72"/>
              </w:numPr>
              <w:ind w:left="492"/>
            </w:pPr>
            <w:r>
              <w:t>food service to vulnerable populations</w:t>
            </w:r>
          </w:p>
          <w:p w14:paraId="1F4F32E0" w14:textId="77777777" w:rsidR="000E0533" w:rsidRDefault="000E0533" w:rsidP="00BC7FEA">
            <w:pPr>
              <w:pStyle w:val="ListParagraph"/>
              <w:numPr>
                <w:ilvl w:val="0"/>
                <w:numId w:val="72"/>
              </w:numPr>
              <w:ind w:left="492"/>
            </w:pPr>
            <w:r>
              <w:t>raw oysters and other bivalves</w:t>
            </w:r>
          </w:p>
          <w:p w14:paraId="6500F432" w14:textId="77777777" w:rsidR="000E0533" w:rsidRDefault="000E0533" w:rsidP="00BC7FEA">
            <w:pPr>
              <w:pStyle w:val="ListParagraph"/>
              <w:numPr>
                <w:ilvl w:val="0"/>
                <w:numId w:val="72"/>
              </w:numPr>
              <w:ind w:left="492"/>
            </w:pPr>
            <w:r>
              <w:t>manufactured and fermented meat</w:t>
            </w:r>
          </w:p>
          <w:p w14:paraId="0F110589" w14:textId="77777777" w:rsidR="000E0533" w:rsidRDefault="000E0533" w:rsidP="00BC7FEA">
            <w:pPr>
              <w:pStyle w:val="ListParagraph"/>
              <w:numPr>
                <w:ilvl w:val="0"/>
                <w:numId w:val="72"/>
              </w:numPr>
              <w:ind w:left="492" w:right="-108"/>
            </w:pPr>
            <w:r>
              <w:t>catering operations</w:t>
            </w:r>
          </w:p>
          <w:p w14:paraId="773BE69C" w14:textId="77777777" w:rsidR="000E0533" w:rsidRDefault="000E0533" w:rsidP="000E0533">
            <w:pPr>
              <w:ind w:right="-108"/>
            </w:pPr>
          </w:p>
          <w:p w14:paraId="59A1DCAD" w14:textId="1C9ABD5A" w:rsidR="000E0533" w:rsidRDefault="000E0533" w:rsidP="00B718CA">
            <w:pPr>
              <w:ind w:right="-108"/>
            </w:pPr>
            <w:r>
              <w:t xml:space="preserve">FSPs </w:t>
            </w:r>
            <w:r w:rsidR="00B718CA">
              <w:t xml:space="preserve">recommended. </w:t>
            </w:r>
          </w:p>
        </w:tc>
      </w:tr>
      <w:tr w:rsidR="000E0533" w14:paraId="1AAA4133" w14:textId="77777777" w:rsidTr="00580B7D">
        <w:tc>
          <w:tcPr>
            <w:tcW w:w="809" w:type="dxa"/>
          </w:tcPr>
          <w:p w14:paraId="3C8D6256" w14:textId="17C82F59" w:rsidR="000E0533" w:rsidRDefault="000E0533" w:rsidP="008E4477">
            <w:r>
              <w:t>2004</w:t>
            </w:r>
          </w:p>
        </w:tc>
        <w:tc>
          <w:tcPr>
            <w:tcW w:w="2730" w:type="dxa"/>
          </w:tcPr>
          <w:p w14:paraId="170246C0" w14:textId="0B53FA9B" w:rsidR="000E0533" w:rsidRDefault="000E0533" w:rsidP="008E4477">
            <w:r>
              <w:t>FSANZ Proposal P290</w:t>
            </w:r>
            <w:r w:rsidR="009C2433">
              <w:t xml:space="preserve"> Food Safety Programs for Catering Operations to the General Public</w:t>
            </w:r>
            <w:r w:rsidR="00B10726">
              <w:rPr>
                <w:rStyle w:val="FootnoteReference"/>
              </w:rPr>
              <w:footnoteReference w:id="5"/>
            </w:r>
          </w:p>
        </w:tc>
        <w:tc>
          <w:tcPr>
            <w:tcW w:w="6662" w:type="dxa"/>
          </w:tcPr>
          <w:p w14:paraId="47B2F5FA" w14:textId="0A406033" w:rsidR="00BC7FEA" w:rsidRDefault="00BC7FEA" w:rsidP="008E4477">
            <w:r>
              <w:t>FSANZ raise</w:t>
            </w:r>
            <w:r w:rsidR="00A9439C">
              <w:t>d a</w:t>
            </w:r>
            <w:r>
              <w:t xml:space="preserve"> proposal to consider </w:t>
            </w:r>
            <w:r w:rsidR="00B718CA">
              <w:t>food safety programs</w:t>
            </w:r>
            <w:r>
              <w:t xml:space="preserve"> for catering operations.</w:t>
            </w:r>
          </w:p>
          <w:p w14:paraId="0B77B128" w14:textId="77777777" w:rsidR="000028F4" w:rsidRDefault="000028F4" w:rsidP="008E4477"/>
          <w:p w14:paraId="115AA387" w14:textId="06C1F93A" w:rsidR="00B718CA" w:rsidRDefault="00BC7FEA" w:rsidP="00B718CA">
            <w:r>
              <w:t>Proposal p</w:t>
            </w:r>
            <w:r w:rsidR="009C2433">
              <w:t xml:space="preserve">ut on hold following difficulties in </w:t>
            </w:r>
            <w:r w:rsidR="00B718CA">
              <w:t>defining the sector and achieving net benefit when applying requirements of a relatively expensive and resource-intensive food safety plan.</w:t>
            </w:r>
            <w:r w:rsidR="00FC252D">
              <w:t xml:space="preserve"> </w:t>
            </w:r>
          </w:p>
          <w:p w14:paraId="0BFE663E" w14:textId="77777777" w:rsidR="009C2433" w:rsidRDefault="009C2433" w:rsidP="008E4477"/>
          <w:p w14:paraId="4D60EE7E" w14:textId="0D83B73A" w:rsidR="00BC7FEA" w:rsidRDefault="009C2433" w:rsidP="009C2433">
            <w:r>
              <w:t>FSM WG convened and tasked to consider</w:t>
            </w:r>
            <w:r w:rsidR="000028F4">
              <w:t xml:space="preserve"> options</w:t>
            </w:r>
            <w:r w:rsidR="00B718CA">
              <w:t xml:space="preserve"> for alternative tools to manage food safety risks.</w:t>
            </w:r>
          </w:p>
        </w:tc>
      </w:tr>
      <w:tr w:rsidR="00313930" w14:paraId="1E34ED6E" w14:textId="77777777" w:rsidTr="00580B7D">
        <w:tc>
          <w:tcPr>
            <w:tcW w:w="809" w:type="dxa"/>
          </w:tcPr>
          <w:p w14:paraId="7C3776BA" w14:textId="77777777" w:rsidR="00313930" w:rsidRDefault="00313930" w:rsidP="008E4477"/>
        </w:tc>
        <w:tc>
          <w:tcPr>
            <w:tcW w:w="2730" w:type="dxa"/>
          </w:tcPr>
          <w:p w14:paraId="76D2C33D" w14:textId="1A76EE65" w:rsidR="00313930" w:rsidRDefault="00313930" w:rsidP="00313930">
            <w:r>
              <w:t xml:space="preserve">Revised Food Acts </w:t>
            </w:r>
          </w:p>
        </w:tc>
        <w:tc>
          <w:tcPr>
            <w:tcW w:w="6662" w:type="dxa"/>
          </w:tcPr>
          <w:p w14:paraId="56AAEF23" w14:textId="3C498EDC" w:rsidR="00313930" w:rsidRDefault="00313930" w:rsidP="00B31883">
            <w:r>
              <w:t xml:space="preserve">In absence of </w:t>
            </w:r>
            <w:r w:rsidR="00A9439C">
              <w:t xml:space="preserve">an </w:t>
            </w:r>
            <w:r>
              <w:t>agreed national approach, Victoria, NSW, Queensland and the ACT introduce requirements to manage high risk in food service sector.</w:t>
            </w:r>
          </w:p>
          <w:p w14:paraId="0E98FD2A" w14:textId="2BDB1189" w:rsidR="00580B7D" w:rsidRDefault="00580B7D" w:rsidP="00580B7D">
            <w:r>
              <w:t xml:space="preserve">All </w:t>
            </w:r>
            <w:r w:rsidRPr="004657C0">
              <w:t xml:space="preserve">have requirements for </w:t>
            </w:r>
            <w:r>
              <w:t>food safety supervisors</w:t>
            </w:r>
            <w:r w:rsidRPr="004657C0">
              <w:t xml:space="preserve"> with competency-based training. Victoria and Queensland also have template-based food safety programs</w:t>
            </w:r>
          </w:p>
        </w:tc>
      </w:tr>
      <w:tr w:rsidR="000E0533" w14:paraId="7C0BF79F" w14:textId="77777777" w:rsidTr="00580B7D">
        <w:tc>
          <w:tcPr>
            <w:tcW w:w="809" w:type="dxa"/>
          </w:tcPr>
          <w:p w14:paraId="10940ACF" w14:textId="0036BB0E" w:rsidR="000E0533" w:rsidRDefault="009C2433" w:rsidP="008E4477">
            <w:r>
              <w:t>2007</w:t>
            </w:r>
          </w:p>
        </w:tc>
        <w:tc>
          <w:tcPr>
            <w:tcW w:w="2730" w:type="dxa"/>
          </w:tcPr>
          <w:p w14:paraId="1A6F7367" w14:textId="452E5B29" w:rsidR="000E0533" w:rsidRDefault="009C2433" w:rsidP="008E4477">
            <w:r>
              <w:t>National Risk Profile Framework</w:t>
            </w:r>
          </w:p>
        </w:tc>
        <w:tc>
          <w:tcPr>
            <w:tcW w:w="6662" w:type="dxa"/>
          </w:tcPr>
          <w:p w14:paraId="40AB05D8" w14:textId="14B96505" w:rsidR="00BC7FEA" w:rsidRDefault="00BC7FEA" w:rsidP="008E4477">
            <w:r>
              <w:t>Classifie</w:t>
            </w:r>
            <w:r w:rsidR="00883052">
              <w:t>d</w:t>
            </w:r>
            <w:r w:rsidR="009C2433">
              <w:t xml:space="preserve"> food businesses into four </w:t>
            </w:r>
            <w:r w:rsidR="00883052">
              <w:t>tiers</w:t>
            </w:r>
            <w:r w:rsidR="009C2433">
              <w:t xml:space="preserve"> based on food safety risk (P1 to P4)</w:t>
            </w:r>
          </w:p>
        </w:tc>
      </w:tr>
      <w:tr w:rsidR="000E0533" w14:paraId="378FD9D7" w14:textId="77777777" w:rsidTr="00580B7D">
        <w:tc>
          <w:tcPr>
            <w:tcW w:w="809" w:type="dxa"/>
          </w:tcPr>
          <w:p w14:paraId="72278BE4" w14:textId="23D2A3F4" w:rsidR="000E0533" w:rsidRDefault="009C2433" w:rsidP="008E4477">
            <w:r>
              <w:t>2011</w:t>
            </w:r>
          </w:p>
        </w:tc>
        <w:tc>
          <w:tcPr>
            <w:tcW w:w="2730" w:type="dxa"/>
          </w:tcPr>
          <w:p w14:paraId="722E90DA" w14:textId="4683997B" w:rsidR="000E0533" w:rsidRDefault="009C2433" w:rsidP="008E4477">
            <w:r w:rsidRPr="00C53FAD">
              <w:rPr>
                <w:rFonts w:cs="Calibri"/>
                <w:lang w:val="en-AU"/>
              </w:rPr>
              <w:t>Ministerial Policy Guideline on Food Safety Management for General Food Service and Closely Related Retail Sectors</w:t>
            </w:r>
            <w:r w:rsidR="00B718CA">
              <w:rPr>
                <w:rStyle w:val="FootnoteReference"/>
                <w:rFonts w:cs="Calibri"/>
                <w:lang w:val="en-AU"/>
              </w:rPr>
              <w:footnoteReference w:id="6"/>
            </w:r>
          </w:p>
        </w:tc>
        <w:tc>
          <w:tcPr>
            <w:tcW w:w="6662" w:type="dxa"/>
          </w:tcPr>
          <w:p w14:paraId="29CC6DFE" w14:textId="0C756078" w:rsidR="000E0533" w:rsidRDefault="009C2433" w:rsidP="00BC7FEA">
            <w:r>
              <w:t>Use</w:t>
            </w:r>
            <w:r w:rsidR="00BC7FEA">
              <w:t>s</w:t>
            </w:r>
            <w:r>
              <w:t xml:space="preserve"> the national framework to narrow the scope for applying additional food safety management tools </w:t>
            </w:r>
            <w:r w:rsidR="00C1689F">
              <w:t>other than</w:t>
            </w:r>
            <w:r w:rsidR="00A9439C">
              <w:t xml:space="preserve"> FSPs </w:t>
            </w:r>
            <w:r>
              <w:t>to higher risk businesses (i</w:t>
            </w:r>
            <w:r w:rsidR="00B718CA">
              <w:t>.</w:t>
            </w:r>
            <w:r>
              <w:t>e</w:t>
            </w:r>
            <w:r w:rsidR="00B718CA">
              <w:t>.</w:t>
            </w:r>
            <w:r>
              <w:t xml:space="preserve"> priority 1 and 2) </w:t>
            </w:r>
          </w:p>
          <w:p w14:paraId="7F77F21A" w14:textId="7A6FB054" w:rsidR="00BC7FEA" w:rsidRDefault="00BC7FEA" w:rsidP="00BC7FEA"/>
        </w:tc>
      </w:tr>
      <w:tr w:rsidR="000E0533" w14:paraId="39C7599C" w14:textId="77777777" w:rsidTr="00580B7D">
        <w:tc>
          <w:tcPr>
            <w:tcW w:w="809" w:type="dxa"/>
          </w:tcPr>
          <w:p w14:paraId="24A4D377" w14:textId="035691D2" w:rsidR="000E0533" w:rsidRDefault="009C2433" w:rsidP="008E4477">
            <w:r>
              <w:t>2018</w:t>
            </w:r>
          </w:p>
        </w:tc>
        <w:tc>
          <w:tcPr>
            <w:tcW w:w="2730" w:type="dxa"/>
          </w:tcPr>
          <w:p w14:paraId="62514535" w14:textId="2E4FBB10" w:rsidR="000E0533" w:rsidRDefault="00BC7FEA" w:rsidP="00BC7FEA">
            <w:r w:rsidRPr="00C779DC">
              <w:rPr>
                <w:lang w:eastAsia="en-AU"/>
              </w:rPr>
              <w:t>Consideration of Food Safety Standards and Food Safety Management Tools</w:t>
            </w:r>
            <w:r>
              <w:rPr>
                <w:lang w:eastAsia="en-AU"/>
              </w:rPr>
              <w:t xml:space="preserve"> </w:t>
            </w:r>
          </w:p>
        </w:tc>
        <w:tc>
          <w:tcPr>
            <w:tcW w:w="6662" w:type="dxa"/>
          </w:tcPr>
          <w:p w14:paraId="674B07AF" w14:textId="569624D0" w:rsidR="004019AF" w:rsidRDefault="00BC7FEA" w:rsidP="008E4477">
            <w:pPr>
              <w:rPr>
                <w:lang w:eastAsia="en-AU"/>
              </w:rPr>
            </w:pPr>
            <w:r>
              <w:rPr>
                <w:lang w:val="en-AU"/>
              </w:rPr>
              <w:t xml:space="preserve">FSM WG </w:t>
            </w:r>
            <w:r w:rsidR="009C2433">
              <w:rPr>
                <w:lang w:eastAsia="en-AU"/>
              </w:rPr>
              <w:t>report provided to FRSC</w:t>
            </w:r>
            <w:r w:rsidR="004019AF">
              <w:rPr>
                <w:lang w:eastAsia="en-AU"/>
              </w:rPr>
              <w:t>.</w:t>
            </w:r>
          </w:p>
          <w:p w14:paraId="102D2FB5" w14:textId="4E23C7BA" w:rsidR="004019AF" w:rsidRDefault="004019AF" w:rsidP="004019AF">
            <w:pPr>
              <w:rPr>
                <w:lang w:eastAsia="en-AU"/>
              </w:rPr>
            </w:pPr>
            <w:r>
              <w:rPr>
                <w:lang w:eastAsia="en-AU"/>
              </w:rPr>
              <w:t>It identified additional food safety management tools to complement Standard 3.2.2 for Priority 1 and Priority 2 businesses to improve food safety. These include:</w:t>
            </w:r>
          </w:p>
          <w:p w14:paraId="308BDC44" w14:textId="77777777" w:rsidR="004019AF" w:rsidRDefault="004019AF" w:rsidP="004019AF">
            <w:pPr>
              <w:pStyle w:val="FSBullet1"/>
              <w:rPr>
                <w:lang w:eastAsia="en-AU"/>
              </w:rPr>
            </w:pPr>
            <w:r>
              <w:rPr>
                <w:lang w:eastAsia="en-AU"/>
              </w:rPr>
              <w:t xml:space="preserve">evidence of skills and knowledge (acquired via competency-based training) </w:t>
            </w:r>
          </w:p>
          <w:p w14:paraId="008DE84F" w14:textId="77777777" w:rsidR="004019AF" w:rsidRDefault="004019AF" w:rsidP="004019AF">
            <w:pPr>
              <w:pStyle w:val="FSBullet1"/>
              <w:rPr>
                <w:lang w:eastAsia="en-AU"/>
              </w:rPr>
            </w:pPr>
            <w:r>
              <w:rPr>
                <w:lang w:eastAsia="en-AU"/>
              </w:rPr>
              <w:t>evidence of skills and knowledge (acquired via non-competency based training)</w:t>
            </w:r>
          </w:p>
          <w:p w14:paraId="62D8FF4F" w14:textId="520AFC75" w:rsidR="00A65849" w:rsidRDefault="004019AF" w:rsidP="008E4477">
            <w:pPr>
              <w:pStyle w:val="FSBullet1"/>
              <w:rPr>
                <w:lang w:eastAsia="en-AU"/>
              </w:rPr>
            </w:pPr>
            <w:r>
              <w:rPr>
                <w:lang w:eastAsia="en-AU"/>
              </w:rPr>
              <w:t xml:space="preserve">evidence to show that key processes are being managed. </w:t>
            </w:r>
          </w:p>
        </w:tc>
      </w:tr>
      <w:tr w:rsidR="009C2433" w14:paraId="25DD07CB" w14:textId="77777777" w:rsidTr="00580B7D">
        <w:tc>
          <w:tcPr>
            <w:tcW w:w="809" w:type="dxa"/>
          </w:tcPr>
          <w:p w14:paraId="29CA58DB" w14:textId="21E23237" w:rsidR="009C2433" w:rsidRDefault="009C2433" w:rsidP="008E4477">
            <w:r>
              <w:t>2018</w:t>
            </w:r>
          </w:p>
        </w:tc>
        <w:tc>
          <w:tcPr>
            <w:tcW w:w="2730" w:type="dxa"/>
          </w:tcPr>
          <w:p w14:paraId="52BF8979" w14:textId="4209BBA3" w:rsidR="009C2433" w:rsidRDefault="009C2433" w:rsidP="00B31883">
            <w:pPr>
              <w:rPr>
                <w:lang w:val="en-AU"/>
              </w:rPr>
            </w:pPr>
            <w:r w:rsidRPr="00C53FAD">
              <w:rPr>
                <w:rFonts w:cs="Arial"/>
                <w:szCs w:val="22"/>
                <w:lang w:val="en-AU"/>
              </w:rPr>
              <w:t xml:space="preserve">Australia’s Foodborne Illness </w:t>
            </w:r>
            <w:r w:rsidRPr="00C53FAD">
              <w:rPr>
                <w:rFonts w:cs="Arial"/>
                <w:szCs w:val="22"/>
                <w:lang w:val="en-AU"/>
              </w:rPr>
              <w:lastRenderedPageBreak/>
              <w:t xml:space="preserve">Reduction Strategy </w:t>
            </w:r>
            <w:r w:rsidRPr="00C53FAD">
              <w:t>2018-2021</w:t>
            </w:r>
            <w:r w:rsidR="00883052">
              <w:rPr>
                <w:rFonts w:cs="Arial"/>
                <w:szCs w:val="22"/>
                <w:lang w:val="en-AU"/>
              </w:rPr>
              <w:t>.</w:t>
            </w:r>
          </w:p>
        </w:tc>
        <w:tc>
          <w:tcPr>
            <w:tcW w:w="6662" w:type="dxa"/>
          </w:tcPr>
          <w:p w14:paraId="1909BE7A" w14:textId="72DF105E" w:rsidR="009C2433" w:rsidRPr="00303395" w:rsidRDefault="009C2433" w:rsidP="008E4477">
            <w:pPr>
              <w:rPr>
                <w:lang w:eastAsia="en-AU"/>
              </w:rPr>
            </w:pPr>
            <w:r>
              <w:rPr>
                <w:lang w:eastAsia="en-AU"/>
              </w:rPr>
              <w:lastRenderedPageBreak/>
              <w:t>Identifies food service sector as priority</w:t>
            </w:r>
            <w:r w:rsidR="00BC7FEA">
              <w:rPr>
                <w:lang w:eastAsia="en-AU"/>
              </w:rPr>
              <w:t xml:space="preserve"> </w:t>
            </w:r>
            <w:r w:rsidR="000028F4">
              <w:rPr>
                <w:lang w:eastAsia="en-AU"/>
              </w:rPr>
              <w:t xml:space="preserve">for measures reducing foodborne </w:t>
            </w:r>
            <w:r w:rsidR="000028F4">
              <w:rPr>
                <w:lang w:eastAsia="en-AU"/>
              </w:rPr>
              <w:lastRenderedPageBreak/>
              <w:t>illness</w:t>
            </w:r>
          </w:p>
        </w:tc>
      </w:tr>
    </w:tbl>
    <w:p w14:paraId="2B07C275" w14:textId="77777777" w:rsidR="008E4477" w:rsidRDefault="008E4477" w:rsidP="008E4477">
      <w:pPr>
        <w:rPr>
          <w:rFonts w:cs="Calibri"/>
          <w:lang w:val="en-AU"/>
        </w:rPr>
      </w:pPr>
    </w:p>
    <w:p w14:paraId="06B5C1C9" w14:textId="77777777" w:rsidR="00580B7D" w:rsidRDefault="00B718CA" w:rsidP="00782745">
      <w:pPr>
        <w:rPr>
          <w:lang w:val="en-AU"/>
        </w:rPr>
      </w:pPr>
      <w:r>
        <w:rPr>
          <w:lang w:eastAsia="en-AU"/>
        </w:rPr>
        <w:t>I</w:t>
      </w:r>
      <w:r w:rsidR="00D71519">
        <w:rPr>
          <w:lang w:eastAsia="en-AU"/>
        </w:rPr>
        <w:t>n 2018</w:t>
      </w:r>
      <w:r w:rsidR="008E4477">
        <w:rPr>
          <w:lang w:eastAsia="en-AU"/>
        </w:rPr>
        <w:t>,</w:t>
      </w:r>
      <w:r w:rsidR="00FE4690">
        <w:rPr>
          <w:lang w:eastAsia="en-AU"/>
        </w:rPr>
        <w:t xml:space="preserve"> Food Ministers</w:t>
      </w:r>
      <w:r w:rsidR="00FE4690">
        <w:rPr>
          <w:rStyle w:val="FootnoteReference"/>
          <w:lang w:eastAsia="en-AU"/>
        </w:rPr>
        <w:footnoteReference w:id="7"/>
      </w:r>
      <w:r w:rsidR="008E4477">
        <w:rPr>
          <w:lang w:eastAsia="en-AU"/>
        </w:rPr>
        <w:t xml:space="preserve"> </w:t>
      </w:r>
      <w:r w:rsidR="00782745">
        <w:rPr>
          <w:lang w:eastAsia="en-AU"/>
        </w:rPr>
        <w:t xml:space="preserve">wrote to FSANZ to request consideration of </w:t>
      </w:r>
      <w:r w:rsidR="008E4477">
        <w:rPr>
          <w:lang w:val="en-AU"/>
        </w:rPr>
        <w:t xml:space="preserve">regulatory and non-regulatory measures </w:t>
      </w:r>
      <w:r w:rsidR="00F11250">
        <w:rPr>
          <w:lang w:val="en-AU"/>
        </w:rPr>
        <w:t xml:space="preserve">identified </w:t>
      </w:r>
      <w:r w:rsidR="00FE4690">
        <w:rPr>
          <w:lang w:val="en-AU"/>
        </w:rPr>
        <w:t xml:space="preserve">by the FSM WG </w:t>
      </w:r>
      <w:r w:rsidR="004019AF">
        <w:rPr>
          <w:lang w:val="en-AU"/>
        </w:rPr>
        <w:t>(</w:t>
      </w:r>
      <w:hyperlink r:id="rId23" w:history="1">
        <w:r w:rsidR="004019AF">
          <w:rPr>
            <w:rStyle w:val="Hyperlink"/>
          </w:rPr>
          <w:t xml:space="preserve">Forum </w:t>
        </w:r>
        <w:r w:rsidR="004019AF" w:rsidRPr="005D3E40">
          <w:rPr>
            <w:rStyle w:val="Hyperlink"/>
          </w:rPr>
          <w:t>Communique</w:t>
        </w:r>
      </w:hyperlink>
      <w:r w:rsidR="004019AF">
        <w:rPr>
          <w:rStyle w:val="Hyperlink"/>
        </w:rPr>
        <w:t xml:space="preserve">) </w:t>
      </w:r>
      <w:r w:rsidR="008E4477">
        <w:rPr>
          <w:lang w:val="en-AU"/>
        </w:rPr>
        <w:t xml:space="preserve">and </w:t>
      </w:r>
      <w:r w:rsidR="00D71519">
        <w:rPr>
          <w:lang w:val="en-AU"/>
        </w:rPr>
        <w:t xml:space="preserve">to use </w:t>
      </w:r>
      <w:r w:rsidR="008E4477">
        <w:rPr>
          <w:lang w:val="en-AU"/>
        </w:rPr>
        <w:t>the integrated model</w:t>
      </w:r>
      <w:r w:rsidR="004019AF">
        <w:rPr>
          <w:rStyle w:val="FootnoteReference"/>
          <w:lang w:val="en-AU"/>
        </w:rPr>
        <w:footnoteReference w:id="8"/>
      </w:r>
      <w:r w:rsidR="008E4477">
        <w:rPr>
          <w:lang w:val="en-AU"/>
        </w:rPr>
        <w:t xml:space="preserve"> approach for </w:t>
      </w:r>
      <w:r w:rsidR="00D71519">
        <w:rPr>
          <w:lang w:val="en-AU"/>
        </w:rPr>
        <w:t xml:space="preserve">national </w:t>
      </w:r>
      <w:r w:rsidR="008E4477">
        <w:rPr>
          <w:lang w:val="en-AU"/>
        </w:rPr>
        <w:t>implementation.</w:t>
      </w:r>
      <w:r w:rsidR="005D3E40">
        <w:rPr>
          <w:lang w:val="en-AU"/>
        </w:rPr>
        <w:t xml:space="preserve"> </w:t>
      </w:r>
    </w:p>
    <w:p w14:paraId="3B35A447" w14:textId="6E7BD56D" w:rsidR="00580B7D" w:rsidRDefault="00580B7D" w:rsidP="00782745">
      <w:pPr>
        <w:rPr>
          <w:lang w:val="en-AU"/>
        </w:rPr>
      </w:pPr>
    </w:p>
    <w:p w14:paraId="4E770C06" w14:textId="57205467" w:rsidR="00324149" w:rsidRPr="007D78CA" w:rsidRDefault="00324149" w:rsidP="00324149">
      <w:pPr>
        <w:rPr>
          <w:lang w:val="en-AU"/>
        </w:rPr>
      </w:pPr>
      <w:r w:rsidRPr="007D78CA">
        <w:rPr>
          <w:lang w:val="en-AU"/>
        </w:rPr>
        <w:t xml:space="preserve">The </w:t>
      </w:r>
      <w:hyperlink r:id="rId24" w:history="1">
        <w:r w:rsidRPr="007A3193">
          <w:rPr>
            <w:rStyle w:val="Hyperlink"/>
            <w:lang w:val="en-AU"/>
          </w:rPr>
          <w:t>integrated model to support standards development and promote consistent implementation</w:t>
        </w:r>
      </w:hyperlink>
      <w:r w:rsidRPr="007D78CA">
        <w:rPr>
          <w:lang w:val="en-AU"/>
        </w:rPr>
        <w:t xml:space="preserve"> was originally developed for Primary Production and Processing (PPP) Standards</w:t>
      </w:r>
      <w:r>
        <w:rPr>
          <w:lang w:val="en-AU"/>
        </w:rPr>
        <w:t xml:space="preserve"> (Chapter 4 of the Code)</w:t>
      </w:r>
      <w:r w:rsidRPr="007D78CA">
        <w:rPr>
          <w:lang w:val="en-AU"/>
        </w:rPr>
        <w:t>.</w:t>
      </w:r>
      <w:r>
        <w:rPr>
          <w:lang w:val="en-AU"/>
        </w:rPr>
        <w:t xml:space="preserve"> </w:t>
      </w:r>
      <w:r w:rsidRPr="007D78CA">
        <w:rPr>
          <w:lang w:val="en-AU"/>
        </w:rPr>
        <w:t xml:space="preserve">However, it has been adapted for use in the development of other </w:t>
      </w:r>
      <w:r w:rsidR="00C1689F">
        <w:rPr>
          <w:lang w:val="en-AU"/>
        </w:rPr>
        <w:t>s</w:t>
      </w:r>
      <w:r w:rsidRPr="007D78CA">
        <w:rPr>
          <w:lang w:val="en-AU"/>
        </w:rPr>
        <w:t>tandards in the Code.</w:t>
      </w:r>
      <w:r>
        <w:rPr>
          <w:lang w:val="en-AU"/>
        </w:rPr>
        <w:t xml:space="preserve"> </w:t>
      </w:r>
      <w:r w:rsidRPr="007D78CA">
        <w:rPr>
          <w:lang w:val="en-AU"/>
        </w:rPr>
        <w:t>Its purpose is to:</w:t>
      </w:r>
    </w:p>
    <w:p w14:paraId="481524B6" w14:textId="77777777" w:rsidR="00324149" w:rsidRPr="007D78CA" w:rsidRDefault="00324149" w:rsidP="00324149">
      <w:pPr>
        <w:pStyle w:val="ListParagraph"/>
        <w:numPr>
          <w:ilvl w:val="0"/>
          <w:numId w:val="77"/>
        </w:numPr>
        <w:rPr>
          <w:lang w:val="en-AU"/>
        </w:rPr>
      </w:pPr>
      <w:r w:rsidRPr="007D78CA">
        <w:rPr>
          <w:lang w:val="en-AU"/>
        </w:rPr>
        <w:t>assist in facilitating a nationally consistent approach to the implementation and enforcement of PPP Standards</w:t>
      </w:r>
    </w:p>
    <w:p w14:paraId="6E2E2E7C" w14:textId="77777777" w:rsidR="00324149" w:rsidRPr="007D78CA" w:rsidRDefault="00324149" w:rsidP="00324149">
      <w:pPr>
        <w:pStyle w:val="ListParagraph"/>
        <w:numPr>
          <w:ilvl w:val="0"/>
          <w:numId w:val="77"/>
        </w:numPr>
        <w:rPr>
          <w:lang w:val="en-AU"/>
        </w:rPr>
      </w:pPr>
      <w:r w:rsidRPr="007D78CA">
        <w:rPr>
          <w:lang w:val="en-AU"/>
        </w:rPr>
        <w:t>provide the tools to assist businesses to achieve compliance with the PPP Standard, and</w:t>
      </w:r>
    </w:p>
    <w:p w14:paraId="7CBA391D" w14:textId="77777777" w:rsidR="00324149" w:rsidRPr="007D78CA" w:rsidRDefault="00324149" w:rsidP="00324149">
      <w:pPr>
        <w:pStyle w:val="ListParagraph"/>
        <w:numPr>
          <w:ilvl w:val="0"/>
          <w:numId w:val="77"/>
        </w:numPr>
        <w:rPr>
          <w:lang w:val="en-AU"/>
        </w:rPr>
      </w:pPr>
      <w:r w:rsidRPr="007D78CA">
        <w:rPr>
          <w:lang w:val="en-AU"/>
        </w:rPr>
        <w:t>provide constructive implementation and enforcement advice to FSANZ during the FSANZ Standard development process.</w:t>
      </w:r>
    </w:p>
    <w:p w14:paraId="0F2E074C" w14:textId="77777777" w:rsidR="00324149" w:rsidRPr="00580B7D" w:rsidRDefault="00324149" w:rsidP="00324149">
      <w:pPr>
        <w:rPr>
          <w:lang w:val="en-AU"/>
        </w:rPr>
      </w:pPr>
    </w:p>
    <w:p w14:paraId="1FB7A173" w14:textId="1D95D04C" w:rsidR="00324149" w:rsidRPr="00126337" w:rsidRDefault="00324149" w:rsidP="00782745">
      <w:pPr>
        <w:rPr>
          <w:rFonts w:cs="Helvetica Neue"/>
          <w:color w:val="000000"/>
        </w:rPr>
      </w:pPr>
      <w:r w:rsidRPr="007D78CA">
        <w:rPr>
          <w:rFonts w:cs="Helvetica Neue"/>
          <w:color w:val="000000"/>
        </w:rPr>
        <w:t xml:space="preserve">The Integrated Model promotes greater collaboration between FSANZ and </w:t>
      </w:r>
      <w:r w:rsidR="00FC49F9" w:rsidRPr="003D69B2">
        <w:rPr>
          <w:rStyle w:val="normaltextrun"/>
          <w:rFonts w:cs="Arial"/>
          <w:szCs w:val="22"/>
        </w:rPr>
        <w:t xml:space="preserve">the </w:t>
      </w:r>
      <w:r>
        <w:rPr>
          <w:rFonts w:cs="Helvetica Neue"/>
          <w:color w:val="000000"/>
        </w:rPr>
        <w:t>ISFR</w:t>
      </w:r>
      <w:r w:rsidRPr="007D78CA">
        <w:rPr>
          <w:rFonts w:cs="Helvetica Neue"/>
          <w:color w:val="000000"/>
        </w:rPr>
        <w:t xml:space="preserve"> during Standards development, particularly </w:t>
      </w:r>
      <w:r w:rsidR="00A9439C">
        <w:rPr>
          <w:rFonts w:cs="Helvetica Neue"/>
          <w:color w:val="000000"/>
        </w:rPr>
        <w:t>on</w:t>
      </w:r>
      <w:r w:rsidRPr="007D78CA">
        <w:rPr>
          <w:rFonts w:cs="Helvetica Neue"/>
          <w:color w:val="000000"/>
        </w:rPr>
        <w:t xml:space="preserve"> implementation matters.</w:t>
      </w:r>
    </w:p>
    <w:p w14:paraId="5864736E" w14:textId="213FC2C5" w:rsidR="004B7C19" w:rsidRDefault="004B7C19" w:rsidP="008E4477"/>
    <w:p w14:paraId="6E408E7E" w14:textId="77777777" w:rsidR="00932C0C" w:rsidRPr="00FC252D" w:rsidRDefault="00932C0C" w:rsidP="00932C0C">
      <w:pPr>
        <w:pStyle w:val="Heading1"/>
      </w:pPr>
      <w:bookmarkStart w:id="27" w:name="_Toc94172646"/>
      <w:r>
        <w:t xml:space="preserve">Risk </w:t>
      </w:r>
      <w:r w:rsidRPr="00FC252D">
        <w:t>assessment</w:t>
      </w:r>
      <w:bookmarkEnd w:id="27"/>
    </w:p>
    <w:p w14:paraId="6A0D027B" w14:textId="08FD3C0C" w:rsidR="00DC2A92" w:rsidRDefault="00DC2A92" w:rsidP="00DC2A92">
      <w:r w:rsidRPr="00FC252D">
        <w:t xml:space="preserve">FSANZ’s risk assessment is detailed in </w:t>
      </w:r>
      <w:r w:rsidR="004C47E5">
        <w:t>s</w:t>
      </w:r>
      <w:r w:rsidRPr="00FC252D">
        <w:t xml:space="preserve">upporting </w:t>
      </w:r>
      <w:r w:rsidR="004C47E5">
        <w:t>d</w:t>
      </w:r>
      <w:r w:rsidRPr="00FC252D">
        <w:t xml:space="preserve">ocument </w:t>
      </w:r>
      <w:r w:rsidR="004C47E5">
        <w:t>2</w:t>
      </w:r>
      <w:r w:rsidR="00883052" w:rsidRPr="00FC252D">
        <w:t xml:space="preserve"> (SD</w:t>
      </w:r>
      <w:r w:rsidR="004C47E5">
        <w:t>2</w:t>
      </w:r>
      <w:r w:rsidR="00883052" w:rsidRPr="00FC252D">
        <w:t>)</w:t>
      </w:r>
      <w:r w:rsidRPr="00A9439C">
        <w:t xml:space="preserve"> </w:t>
      </w:r>
      <w:r>
        <w:t xml:space="preserve">and summarised below. </w:t>
      </w:r>
    </w:p>
    <w:p w14:paraId="3DA76133" w14:textId="232F5643" w:rsidR="00932C0C" w:rsidRPr="00932F14" w:rsidRDefault="00932C0C" w:rsidP="00932C0C">
      <w:pPr>
        <w:pStyle w:val="Heading2"/>
        <w:ind w:left="567"/>
      </w:pPr>
      <w:bookmarkStart w:id="28" w:name="_Toc94172647"/>
      <w:r>
        <w:t xml:space="preserve">Risk profiling of Australian food service and retail </w:t>
      </w:r>
      <w:r>
        <w:lastRenderedPageBreak/>
        <w:t>businesses</w:t>
      </w:r>
      <w:bookmarkEnd w:id="28"/>
    </w:p>
    <w:p w14:paraId="7EE30FBB" w14:textId="77777777" w:rsidR="00932C0C" w:rsidRPr="00C77D99" w:rsidRDefault="00932C0C" w:rsidP="00932C0C">
      <w:pPr>
        <w:keepLines/>
      </w:pPr>
      <w:r w:rsidRPr="00C77D99">
        <w:t>To assess risks to public health and safety, FSANZ use</w:t>
      </w:r>
      <w:r>
        <w:t>d</w:t>
      </w:r>
      <w:r w:rsidRPr="00C77D99">
        <w:t xml:space="preserve"> </w:t>
      </w:r>
      <w:r>
        <w:t>several</w:t>
      </w:r>
      <w:r w:rsidRPr="00C77D99">
        <w:t xml:space="preserve"> tools including risk profiling</w:t>
      </w:r>
      <w:r w:rsidRPr="00C77D99">
        <w:rPr>
          <w:rStyle w:val="FootnoteReference"/>
        </w:rPr>
        <w:footnoteReference w:id="9"/>
      </w:r>
      <w:r w:rsidRPr="00C77D99">
        <w:t>, quantitative and qualitative risk assessments</w:t>
      </w:r>
      <w:r w:rsidRPr="00C77D99">
        <w:rPr>
          <w:rStyle w:val="FootnoteReference"/>
        </w:rPr>
        <w:footnoteReference w:id="10"/>
      </w:r>
      <w:r w:rsidRPr="00C77D99">
        <w:t xml:space="preserve"> and scientific evaluations. The application of these tools depends on the purpose of the assessment and the availability, quality and quantity of relevant data. FSANZ follows established international guidelines including the Codex risk assessment framework. </w:t>
      </w:r>
    </w:p>
    <w:p w14:paraId="67DF67D3" w14:textId="77777777" w:rsidR="00932C0C" w:rsidRPr="00C77D99" w:rsidRDefault="00932C0C" w:rsidP="00932C0C"/>
    <w:p w14:paraId="009F0344" w14:textId="75F55593" w:rsidR="00932C0C" w:rsidRDefault="00932C0C" w:rsidP="00932C0C">
      <w:pPr>
        <w:rPr>
          <w:rFonts w:cs="Arial"/>
          <w:szCs w:val="22"/>
        </w:rPr>
      </w:pPr>
      <w:r w:rsidRPr="00C77D99">
        <w:rPr>
          <w:rFonts w:cs="Arial"/>
          <w:lang w:bidi="ar-SA"/>
        </w:rPr>
        <w:t xml:space="preserve">The P1053 </w:t>
      </w:r>
      <w:r>
        <w:rPr>
          <w:rFonts w:cs="Arial"/>
          <w:lang w:bidi="ar-SA"/>
        </w:rPr>
        <w:t xml:space="preserve">microbiological </w:t>
      </w:r>
      <w:r w:rsidRPr="00C77D99">
        <w:rPr>
          <w:rFonts w:cs="Arial"/>
          <w:lang w:bidi="ar-SA"/>
        </w:rPr>
        <w:t xml:space="preserve">risk profile </w:t>
      </w:r>
      <w:r w:rsidRPr="00FC252D">
        <w:rPr>
          <w:rFonts w:cs="Arial"/>
          <w:lang w:bidi="ar-SA"/>
        </w:rPr>
        <w:t>assessment (SD</w:t>
      </w:r>
      <w:r w:rsidR="004C47E5">
        <w:rPr>
          <w:rFonts w:cs="Arial"/>
          <w:lang w:bidi="ar-SA"/>
        </w:rPr>
        <w:t>2</w:t>
      </w:r>
      <w:r w:rsidRPr="00FC252D">
        <w:rPr>
          <w:rFonts w:cs="Arial"/>
          <w:lang w:bidi="ar-SA"/>
        </w:rPr>
        <w:t>) brings</w:t>
      </w:r>
      <w:r w:rsidRPr="00C77D99">
        <w:rPr>
          <w:rFonts w:cs="Arial"/>
          <w:lang w:bidi="ar-SA"/>
        </w:rPr>
        <w:t xml:space="preserve"> together the best available data on </w:t>
      </w:r>
      <w:r w:rsidRPr="00C77D99">
        <w:rPr>
          <w:rFonts w:cs="Arial"/>
        </w:rPr>
        <w:t xml:space="preserve">Australian </w:t>
      </w:r>
      <w:r w:rsidRPr="00C77D99">
        <w:rPr>
          <w:rFonts w:cs="Arial"/>
          <w:lang w:bidi="ar-SA"/>
        </w:rPr>
        <w:t>foodborne outbreaks</w:t>
      </w:r>
      <w:r>
        <w:rPr>
          <w:rFonts w:cs="Arial"/>
          <w:lang w:bidi="ar-SA"/>
        </w:rPr>
        <w:t xml:space="preserve"> from the national OzFoodNet network</w:t>
      </w:r>
      <w:r w:rsidRPr="00C77D99">
        <w:rPr>
          <w:rFonts w:cs="Arial"/>
          <w:lang w:bidi="ar-SA"/>
        </w:rPr>
        <w:t xml:space="preserve">. It describes food safety hazards </w:t>
      </w:r>
      <w:r w:rsidRPr="00C77D99">
        <w:rPr>
          <w:rFonts w:cs="Arial"/>
        </w:rPr>
        <w:t>within food service and related businesses</w:t>
      </w:r>
      <w:r w:rsidRPr="00C77D99">
        <w:rPr>
          <w:rFonts w:cs="Arial"/>
          <w:lang w:bidi="ar-SA"/>
        </w:rPr>
        <w:t xml:space="preserve"> and the </w:t>
      </w:r>
      <w:r w:rsidRPr="00C77D99">
        <w:rPr>
          <w:rFonts w:cs="Arial"/>
        </w:rPr>
        <w:t>controls required to manage these hazards. The outbreak d</w:t>
      </w:r>
      <w:r w:rsidRPr="00C77D99">
        <w:rPr>
          <w:rFonts w:cs="Arial"/>
          <w:szCs w:val="22"/>
        </w:rPr>
        <w:t>ata assessed covers</w:t>
      </w:r>
      <w:r>
        <w:rPr>
          <w:rFonts w:cs="Arial"/>
          <w:szCs w:val="22"/>
        </w:rPr>
        <w:t xml:space="preserve"> 2010 to 2017</w:t>
      </w:r>
      <w:r w:rsidRPr="00C77D99">
        <w:rPr>
          <w:rFonts w:cs="Arial"/>
          <w:szCs w:val="22"/>
        </w:rPr>
        <w:t>:</w:t>
      </w:r>
    </w:p>
    <w:p w14:paraId="65A200FF" w14:textId="77777777" w:rsidR="00552FED" w:rsidRPr="00C77D99" w:rsidRDefault="00552FED" w:rsidP="00932C0C">
      <w:pPr>
        <w:rPr>
          <w:rFonts w:cs="Arial"/>
          <w:szCs w:val="22"/>
        </w:rPr>
      </w:pPr>
    </w:p>
    <w:p w14:paraId="6685B737" w14:textId="77777777" w:rsidR="00552FED" w:rsidRDefault="00932C0C" w:rsidP="00D908F0">
      <w:pPr>
        <w:pStyle w:val="FSBullet1"/>
      </w:pPr>
      <w:r w:rsidRPr="00C77D99">
        <w:t>2010–2012</w:t>
      </w:r>
      <w:r>
        <w:t xml:space="preserve"> data</w:t>
      </w:r>
      <w:r w:rsidRPr="00C77D99">
        <w:t xml:space="preserve"> from OzFoodNet annual reports available online</w:t>
      </w:r>
    </w:p>
    <w:p w14:paraId="465CFECA" w14:textId="28086E8C" w:rsidR="00D908F0" w:rsidRDefault="00932C0C" w:rsidP="00D908F0">
      <w:pPr>
        <w:pStyle w:val="FSBullet1"/>
      </w:pPr>
      <w:r w:rsidRPr="00C77D99">
        <w:t>2013–2017</w:t>
      </w:r>
      <w:r>
        <w:t xml:space="preserve"> data</w:t>
      </w:r>
      <w:r w:rsidRPr="00C77D99">
        <w:t xml:space="preserve"> from unpublished data requested by FSANZ (retrieved from the OzFoodNet Outbreak Register on 22/10/2020).</w:t>
      </w:r>
      <w:r w:rsidR="00FC252D">
        <w:t xml:space="preserve"> </w:t>
      </w:r>
    </w:p>
    <w:p w14:paraId="23D4667B" w14:textId="77777777" w:rsidR="00D908F0" w:rsidRDefault="00D908F0" w:rsidP="00D908F0"/>
    <w:p w14:paraId="762A9271" w14:textId="077930B6" w:rsidR="00932C0C" w:rsidRPr="00C77D99" w:rsidRDefault="00D908F0" w:rsidP="00C1689F">
      <w:r>
        <w:t>FSANZ</w:t>
      </w:r>
      <w:r w:rsidRPr="00C77D99">
        <w:t xml:space="preserve"> review</w:t>
      </w:r>
      <w:r>
        <w:t>ed</w:t>
      </w:r>
      <w:r w:rsidRPr="00C77D99">
        <w:t xml:space="preserve"> </w:t>
      </w:r>
      <w:r>
        <w:t xml:space="preserve">previous (2009) risk </w:t>
      </w:r>
      <w:r w:rsidRPr="00C77D99">
        <w:t>classifications of Australian food service and related food retail business sectors</w:t>
      </w:r>
      <w:r>
        <w:t xml:space="preserve">, in light of more recent data on </w:t>
      </w:r>
      <w:r w:rsidRPr="00C77D99">
        <w:t xml:space="preserve">foodborne </w:t>
      </w:r>
      <w:r>
        <w:t>outbreaks. We did this to confirm these sectors still present high food safety risks. We</w:t>
      </w:r>
      <w:r w:rsidRPr="00C77D99">
        <w:t xml:space="preserve"> </w:t>
      </w:r>
      <w:r>
        <w:t>considered</w:t>
      </w:r>
      <w:r w:rsidRPr="00C77D99">
        <w:t xml:space="preserve"> if certain food handling activities</w:t>
      </w:r>
      <w:r>
        <w:t>,</w:t>
      </w:r>
      <w:r w:rsidRPr="00C77D99">
        <w:t xml:space="preserve"> characteristic </w:t>
      </w:r>
      <w:r>
        <w:t>to</w:t>
      </w:r>
      <w:r w:rsidRPr="00C77D99">
        <w:t xml:space="preserve"> these business sectors</w:t>
      </w:r>
      <w:r>
        <w:t>,</w:t>
      </w:r>
      <w:r w:rsidRPr="00C77D99">
        <w:t xml:space="preserve"> could be </w:t>
      </w:r>
      <w:r>
        <w:t>similarly categorised</w:t>
      </w:r>
      <w:r w:rsidRPr="00C77D99">
        <w:t xml:space="preserve"> on the basis of food safety risks.</w:t>
      </w:r>
      <w:r w:rsidRPr="00C77D99" w:rsidDel="006F05D6">
        <w:t xml:space="preserve"> </w:t>
      </w:r>
    </w:p>
    <w:p w14:paraId="5A40FEA6" w14:textId="77777777" w:rsidR="00932C0C" w:rsidRPr="00C77D99" w:rsidRDefault="00932C0C" w:rsidP="00932C0C">
      <w:pPr>
        <w:pStyle w:val="Heading2"/>
        <w:ind w:left="567"/>
        <w:rPr>
          <w:lang w:val="en-AU"/>
        </w:rPr>
      </w:pPr>
      <w:bookmarkStart w:id="29" w:name="_Toc94172648"/>
      <w:r w:rsidRPr="00C77D99">
        <w:rPr>
          <w:lang w:val="en-AU"/>
        </w:rPr>
        <w:t>Outcomes of our assessment</w:t>
      </w:r>
      <w:bookmarkEnd w:id="29"/>
    </w:p>
    <w:p w14:paraId="0A75FB0D" w14:textId="77777777" w:rsidR="00932C0C" w:rsidRPr="00C77D99" w:rsidRDefault="00932C0C" w:rsidP="00932C0C">
      <w:pPr>
        <w:pStyle w:val="Heading3"/>
        <w:rPr>
          <w:color w:val="auto"/>
        </w:rPr>
      </w:pPr>
      <w:bookmarkStart w:id="30" w:name="_Toc94172649"/>
      <w:r>
        <w:t>Review of OzFoodN</w:t>
      </w:r>
      <w:r w:rsidRPr="00C77D99">
        <w:rPr>
          <w:color w:val="auto"/>
        </w:rPr>
        <w:t>et data</w:t>
      </w:r>
      <w:bookmarkEnd w:id="30"/>
    </w:p>
    <w:p w14:paraId="6B2CE5E8" w14:textId="77777777" w:rsidR="00932C0C" w:rsidRPr="00C77D99" w:rsidRDefault="00932C0C" w:rsidP="00932C0C">
      <w:pPr>
        <w:rPr>
          <w:rFonts w:cs="Arial"/>
          <w:szCs w:val="22"/>
        </w:rPr>
      </w:pPr>
      <w:r w:rsidRPr="00C77D99">
        <w:rPr>
          <w:rFonts w:cs="Arial"/>
          <w:szCs w:val="22"/>
        </w:rPr>
        <w:t>Analysis of the OzFoodNet data shows that 77% (</w:t>
      </w:r>
      <w:r w:rsidRPr="00C77D99">
        <w:t xml:space="preserve">970/1257) </w:t>
      </w:r>
      <w:r w:rsidRPr="00C77D99">
        <w:rPr>
          <w:rFonts w:cs="Arial"/>
          <w:szCs w:val="22"/>
        </w:rPr>
        <w:t xml:space="preserve">of </w:t>
      </w:r>
      <w:r>
        <w:rPr>
          <w:rFonts w:cs="Arial"/>
          <w:szCs w:val="22"/>
        </w:rPr>
        <w:t>confirmed</w:t>
      </w:r>
      <w:r w:rsidRPr="00C77D99">
        <w:rPr>
          <w:rFonts w:cs="Arial"/>
          <w:szCs w:val="22"/>
        </w:rPr>
        <w:t xml:space="preserve"> and probable foodborne outbreaks are associated with food prepared in food service and related retail settings. Restaurants accounted for the largest proportion, with the top five settings being:</w:t>
      </w:r>
    </w:p>
    <w:p w14:paraId="347CDA5C" w14:textId="77777777" w:rsidR="00932C0C" w:rsidRPr="00C77D99" w:rsidRDefault="00932C0C" w:rsidP="00932C0C">
      <w:pPr>
        <w:pStyle w:val="ListParagraph"/>
        <w:numPr>
          <w:ilvl w:val="0"/>
          <w:numId w:val="17"/>
        </w:numPr>
      </w:pPr>
      <w:r w:rsidRPr="00C77D99">
        <w:lastRenderedPageBreak/>
        <w:t xml:space="preserve">restaurant, attributed to 45% of outbreaks (567/1257) </w:t>
      </w:r>
    </w:p>
    <w:p w14:paraId="34D1D69C" w14:textId="77777777" w:rsidR="00932C0C" w:rsidRPr="00C77D99" w:rsidRDefault="00932C0C" w:rsidP="00932C0C">
      <w:pPr>
        <w:pStyle w:val="ListParagraph"/>
        <w:numPr>
          <w:ilvl w:val="0"/>
          <w:numId w:val="17"/>
        </w:numPr>
      </w:pPr>
      <w:r w:rsidRPr="00C77D99">
        <w:t>aged care, attributed to 8% (98/1257)</w:t>
      </w:r>
    </w:p>
    <w:p w14:paraId="7122FAAE" w14:textId="77777777" w:rsidR="00932C0C" w:rsidRPr="00C77D99" w:rsidRDefault="00932C0C" w:rsidP="00932C0C">
      <w:pPr>
        <w:pStyle w:val="ListParagraph"/>
        <w:numPr>
          <w:ilvl w:val="0"/>
          <w:numId w:val="17"/>
        </w:numPr>
        <w:rPr>
          <w:u w:val="single"/>
        </w:rPr>
      </w:pPr>
      <w:r w:rsidRPr="00C77D99">
        <w:t>commercial caterer, attributed to 7% (82/1257)</w:t>
      </w:r>
    </w:p>
    <w:p w14:paraId="65F7E782" w14:textId="77777777" w:rsidR="00932C0C" w:rsidRPr="00C77D99" w:rsidRDefault="00932C0C" w:rsidP="00932C0C">
      <w:pPr>
        <w:pStyle w:val="ListParagraph"/>
        <w:numPr>
          <w:ilvl w:val="0"/>
          <w:numId w:val="17"/>
        </w:numPr>
      </w:pPr>
      <w:r w:rsidRPr="00C77D99">
        <w:t>take-away, attributed to 7% (82/1257)</w:t>
      </w:r>
    </w:p>
    <w:p w14:paraId="727961A1" w14:textId="77777777" w:rsidR="00932C0C" w:rsidRPr="00C77D99" w:rsidRDefault="00932C0C" w:rsidP="00932C0C">
      <w:pPr>
        <w:pStyle w:val="ListParagraph"/>
        <w:numPr>
          <w:ilvl w:val="0"/>
          <w:numId w:val="17"/>
        </w:numPr>
      </w:pPr>
      <w:r w:rsidRPr="00C77D99">
        <w:t>bakery, attributed to 3% (43/1257).</w:t>
      </w:r>
    </w:p>
    <w:p w14:paraId="35A363E9" w14:textId="77777777" w:rsidR="00932C0C" w:rsidRPr="00C77D99" w:rsidRDefault="00932C0C" w:rsidP="00932C0C">
      <w:pPr>
        <w:rPr>
          <w:rFonts w:cs="Arial"/>
          <w:szCs w:val="22"/>
        </w:rPr>
      </w:pPr>
    </w:p>
    <w:p w14:paraId="583CB663" w14:textId="77777777" w:rsidR="00932C0C" w:rsidRPr="00C77D99" w:rsidRDefault="00932C0C" w:rsidP="00932C0C">
      <w:pPr>
        <w:rPr>
          <w:rFonts w:cs="Arial"/>
          <w:szCs w:val="22"/>
        </w:rPr>
      </w:pPr>
      <w:r w:rsidRPr="00C77D99">
        <w:rPr>
          <w:rFonts w:cs="Arial"/>
          <w:szCs w:val="22"/>
        </w:rPr>
        <w:t>These results are similar to those reported for Australia from 2001–2009, where food prepared in restaurants accounted for 40% (409/1025)</w:t>
      </w:r>
      <w:r w:rsidRPr="00C77D99">
        <w:rPr>
          <w:shd w:val="clear" w:color="auto" w:fill="FFFFFF"/>
        </w:rPr>
        <w:t xml:space="preserve"> </w:t>
      </w:r>
      <w:r w:rsidRPr="00C77D99">
        <w:rPr>
          <w:rFonts w:cs="Arial"/>
          <w:szCs w:val="22"/>
        </w:rPr>
        <w:t xml:space="preserve">of total foodborne outbreaks </w:t>
      </w:r>
      <w:r w:rsidRPr="00C77D99">
        <w:rPr>
          <w:shd w:val="clear" w:color="auto" w:fill="FFFFFF"/>
        </w:rPr>
        <w:t>(Astridge et al. 2011)</w:t>
      </w:r>
      <w:r w:rsidRPr="00C77D99">
        <w:rPr>
          <w:rFonts w:cs="Arial"/>
          <w:szCs w:val="22"/>
        </w:rPr>
        <w:t>.</w:t>
      </w:r>
    </w:p>
    <w:p w14:paraId="2C2DDE84" w14:textId="77777777" w:rsidR="00932C0C" w:rsidRPr="00C77D99" w:rsidRDefault="00932C0C" w:rsidP="00932C0C">
      <w:pPr>
        <w:rPr>
          <w:rFonts w:cs="Arial"/>
          <w:szCs w:val="22"/>
        </w:rPr>
      </w:pPr>
    </w:p>
    <w:p w14:paraId="241F0DD8" w14:textId="4BA11483" w:rsidR="00932C0C" w:rsidRDefault="00932C0C" w:rsidP="00932C0C">
      <w:pPr>
        <w:rPr>
          <w:rFonts w:cs="Arial"/>
          <w:szCs w:val="22"/>
        </w:rPr>
      </w:pPr>
      <w:r w:rsidRPr="00C77D99">
        <w:rPr>
          <w:rFonts w:cs="Arial"/>
        </w:rPr>
        <w:t xml:space="preserve">There are challenges to identifying and attributing illness to a particular food and this is not always achieved. </w:t>
      </w:r>
      <w:r w:rsidR="006333C2">
        <w:rPr>
          <w:rFonts w:cs="Arial"/>
        </w:rPr>
        <w:t>Where a specific food could be attributed to an outbreak, e</w:t>
      </w:r>
      <w:r w:rsidRPr="00C77D99">
        <w:rPr>
          <w:rFonts w:cs="Arial"/>
        </w:rPr>
        <w:t>ggs</w:t>
      </w:r>
      <w:r>
        <w:rPr>
          <w:rFonts w:cs="Arial"/>
        </w:rPr>
        <w:t xml:space="preserve"> (raw)</w:t>
      </w:r>
      <w:r w:rsidRPr="00C77D99">
        <w:rPr>
          <w:rFonts w:cs="Arial"/>
        </w:rPr>
        <w:t xml:space="preserve"> </w:t>
      </w:r>
      <w:r w:rsidR="006333C2">
        <w:rPr>
          <w:rFonts w:cs="Arial"/>
        </w:rPr>
        <w:t>were reportedly the highest contributor to foodborne illness in these settings.</w:t>
      </w:r>
      <w:r w:rsidRPr="00C77D99">
        <w:rPr>
          <w:rFonts w:cs="Arial"/>
        </w:rPr>
        <w:t xml:space="preserve"> </w:t>
      </w:r>
      <w:r w:rsidRPr="00C77D99">
        <w:rPr>
          <w:rFonts w:cs="Arial"/>
          <w:szCs w:val="22"/>
        </w:rPr>
        <w:t xml:space="preserve">As such, </w:t>
      </w:r>
      <w:r w:rsidR="00D908F0">
        <w:rPr>
          <w:rFonts w:cs="Arial"/>
          <w:szCs w:val="22"/>
        </w:rPr>
        <w:t xml:space="preserve">in </w:t>
      </w:r>
      <w:r w:rsidR="00D908F0" w:rsidRPr="00C77D99">
        <w:rPr>
          <w:rFonts w:cs="Arial"/>
          <w:szCs w:val="22"/>
        </w:rPr>
        <w:t xml:space="preserve">Australia </w:t>
      </w:r>
      <w:r w:rsidRPr="00C77D99">
        <w:rPr>
          <w:rFonts w:cs="Arial"/>
        </w:rPr>
        <w:t xml:space="preserve">raw eggs </w:t>
      </w:r>
      <w:r>
        <w:rPr>
          <w:rFonts w:cs="Arial"/>
        </w:rPr>
        <w:t>are</w:t>
      </w:r>
      <w:r w:rsidRPr="00C77D99">
        <w:rPr>
          <w:rFonts w:cs="Arial"/>
        </w:rPr>
        <w:t xml:space="preserve"> consid</w:t>
      </w:r>
      <w:r>
        <w:rPr>
          <w:rFonts w:cs="Arial"/>
        </w:rPr>
        <w:t>ered a high-</w:t>
      </w:r>
      <w:r w:rsidRPr="00C77D99">
        <w:rPr>
          <w:rFonts w:cs="Arial"/>
        </w:rPr>
        <w:t xml:space="preserve">risk PHF </w:t>
      </w:r>
      <w:r>
        <w:rPr>
          <w:rFonts w:cs="Arial"/>
        </w:rPr>
        <w:t xml:space="preserve">when </w:t>
      </w:r>
      <w:r w:rsidRPr="00C77D99">
        <w:rPr>
          <w:rFonts w:cs="Arial"/>
        </w:rPr>
        <w:t xml:space="preserve">handled by </w:t>
      </w:r>
      <w:r w:rsidRPr="00C77D99">
        <w:rPr>
          <w:rFonts w:cs="Arial"/>
          <w:szCs w:val="22"/>
        </w:rPr>
        <w:t xml:space="preserve">food service and related food retail businesses. </w:t>
      </w:r>
      <w:r w:rsidRPr="00A365A9">
        <w:rPr>
          <w:rFonts w:cs="Arial"/>
          <w:szCs w:val="22"/>
          <w:lang w:val="en-AU"/>
        </w:rPr>
        <w:t xml:space="preserve">In response to ongoing high rates of egg-related salmonellosis in Australia, including a series of outbreaks due to </w:t>
      </w:r>
      <w:r w:rsidRPr="00A365A9">
        <w:rPr>
          <w:rFonts w:cs="Arial"/>
          <w:i/>
          <w:iCs/>
          <w:szCs w:val="22"/>
          <w:lang w:val="en-AU"/>
        </w:rPr>
        <w:t>Salmonella</w:t>
      </w:r>
      <w:r w:rsidRPr="00A365A9">
        <w:rPr>
          <w:rFonts w:cs="Arial"/>
          <w:szCs w:val="22"/>
          <w:lang w:val="en-AU"/>
        </w:rPr>
        <w:t xml:space="preserve"> Enteritidis in 2018–19, FSANZ is currently reviewing the efficacy of existing regulatory and non-regulatory risk management measures applying to the primary production, processing and distribu</w:t>
      </w:r>
      <w:r>
        <w:rPr>
          <w:rFonts w:cs="Arial"/>
          <w:szCs w:val="22"/>
          <w:lang w:val="en-AU"/>
        </w:rPr>
        <w:t>tion of eggs in Australia</w:t>
      </w:r>
      <w:r>
        <w:rPr>
          <w:rStyle w:val="FootnoteReference"/>
          <w:rFonts w:cs="Arial"/>
          <w:szCs w:val="22"/>
          <w:lang w:val="en-AU"/>
        </w:rPr>
        <w:footnoteReference w:id="11"/>
      </w:r>
      <w:r>
        <w:rPr>
          <w:rFonts w:cs="Arial"/>
          <w:szCs w:val="22"/>
          <w:lang w:val="en-AU"/>
        </w:rPr>
        <w:t>.</w:t>
      </w:r>
    </w:p>
    <w:p w14:paraId="1AAA0744" w14:textId="77777777" w:rsidR="00932C0C" w:rsidRPr="00C77D99" w:rsidRDefault="00932C0C" w:rsidP="00932C0C">
      <w:pPr>
        <w:rPr>
          <w:rFonts w:cs="Arial"/>
        </w:rPr>
      </w:pPr>
    </w:p>
    <w:p w14:paraId="07E58330" w14:textId="77777777" w:rsidR="00932C0C" w:rsidRPr="00C77D99" w:rsidRDefault="00932C0C" w:rsidP="00932C0C">
      <w:pPr>
        <w:rPr>
          <w:rFonts w:cs="Arial"/>
        </w:rPr>
      </w:pPr>
      <w:r>
        <w:rPr>
          <w:rFonts w:cs="Arial"/>
        </w:rPr>
        <w:t>C</w:t>
      </w:r>
      <w:r w:rsidRPr="00C77D99">
        <w:rPr>
          <w:rFonts w:cs="Arial"/>
        </w:rPr>
        <w:t xml:space="preserve">ompared to the other </w:t>
      </w:r>
      <w:r>
        <w:rPr>
          <w:rFonts w:cs="Arial"/>
        </w:rPr>
        <w:t xml:space="preserve">food </w:t>
      </w:r>
      <w:r w:rsidRPr="00C77D99">
        <w:rPr>
          <w:rFonts w:cs="Arial"/>
        </w:rPr>
        <w:t>settings</w:t>
      </w:r>
      <w:r>
        <w:rPr>
          <w:rFonts w:cs="Arial"/>
        </w:rPr>
        <w:t>, t</w:t>
      </w:r>
      <w:r w:rsidRPr="00C77D99">
        <w:rPr>
          <w:rFonts w:cs="Arial"/>
        </w:rPr>
        <w:t xml:space="preserve">here were more varied sources of contamination, and more factors supporting bacterial growth and survival, identified in outbreaks from restaurants, commercial caterers or take-away settings. These included </w:t>
      </w:r>
      <w:r w:rsidRPr="00C77D99">
        <w:rPr>
          <w:rFonts w:cs="Arial"/>
          <w:lang w:bidi="ar-SA"/>
        </w:rPr>
        <w:t xml:space="preserve">ingestion of contaminated raw products, inadequate cleaning of equipment, cross contamination from raw ingredients, insufficient cooking, food left at room temperature, and inadequate refrigeration. </w:t>
      </w:r>
    </w:p>
    <w:p w14:paraId="0AE686DB" w14:textId="77777777" w:rsidR="00932C0C" w:rsidRDefault="00932C0C" w:rsidP="00932C0C">
      <w:pPr>
        <w:rPr>
          <w:rFonts w:cs="Arial"/>
          <w:szCs w:val="22"/>
        </w:rPr>
      </w:pPr>
    </w:p>
    <w:p w14:paraId="48D03ECC" w14:textId="63D587A8" w:rsidR="00932C0C" w:rsidRDefault="00932C0C" w:rsidP="00932C0C">
      <w:pPr>
        <w:rPr>
          <w:rFonts w:cs="Arial"/>
          <w:szCs w:val="22"/>
        </w:rPr>
      </w:pPr>
      <w:r>
        <w:rPr>
          <w:rFonts w:cs="Arial"/>
        </w:rPr>
        <w:t>The data indicate</w:t>
      </w:r>
      <w:r w:rsidR="00D14082">
        <w:rPr>
          <w:rFonts w:cs="Arial"/>
        </w:rPr>
        <w:t>s</w:t>
      </w:r>
      <w:r>
        <w:rPr>
          <w:rFonts w:cs="Arial"/>
        </w:rPr>
        <w:t xml:space="preserve"> that </w:t>
      </w:r>
      <w:r>
        <w:rPr>
          <w:rFonts w:cs="Arial"/>
          <w:szCs w:val="22"/>
        </w:rPr>
        <w:t xml:space="preserve">foodborne outbreaks associated with </w:t>
      </w:r>
      <w:r w:rsidRPr="00D90680">
        <w:rPr>
          <w:rFonts w:cs="Arial"/>
          <w:szCs w:val="22"/>
        </w:rPr>
        <w:t xml:space="preserve">food service and </w:t>
      </w:r>
      <w:r>
        <w:rPr>
          <w:rFonts w:cs="Arial"/>
          <w:szCs w:val="22"/>
        </w:rPr>
        <w:t xml:space="preserve">related </w:t>
      </w:r>
      <w:r w:rsidRPr="00D90680">
        <w:rPr>
          <w:rFonts w:cs="Arial"/>
          <w:szCs w:val="22"/>
        </w:rPr>
        <w:t>food retail</w:t>
      </w:r>
      <w:r>
        <w:rPr>
          <w:rFonts w:cs="Arial"/>
          <w:szCs w:val="22"/>
        </w:rPr>
        <w:t xml:space="preserve"> business sectors continue to contribute significantly to the burden of foodborne illness in Australia</w:t>
      </w:r>
      <w:r w:rsidRPr="00C77D99">
        <w:rPr>
          <w:rFonts w:cs="Arial"/>
        </w:rPr>
        <w:t xml:space="preserve">. </w:t>
      </w:r>
      <w:r>
        <w:rPr>
          <w:rFonts w:cs="Arial"/>
        </w:rPr>
        <w:t>The data show</w:t>
      </w:r>
      <w:r w:rsidR="00D14082">
        <w:rPr>
          <w:rFonts w:cs="Arial"/>
        </w:rPr>
        <w:t>s</w:t>
      </w:r>
      <w:r>
        <w:rPr>
          <w:rFonts w:cs="Arial"/>
        </w:rPr>
        <w:t xml:space="preserve"> that controls needed to maintain food safety at various points during food preparation and service </w:t>
      </w:r>
      <w:r>
        <w:rPr>
          <w:rFonts w:cs="Arial"/>
          <w:szCs w:val="22"/>
        </w:rPr>
        <w:t xml:space="preserve">are not being adequately implemented across these sectors. </w:t>
      </w:r>
    </w:p>
    <w:p w14:paraId="7805FDA2" w14:textId="77777777" w:rsidR="00932C0C" w:rsidRDefault="00932C0C" w:rsidP="00932C0C">
      <w:pPr>
        <w:rPr>
          <w:rFonts w:cs="Arial"/>
          <w:szCs w:val="22"/>
        </w:rPr>
      </w:pPr>
    </w:p>
    <w:p w14:paraId="18E034C7" w14:textId="5AD8FC38" w:rsidR="00932C0C" w:rsidRPr="002E4B0C" w:rsidRDefault="00932C0C" w:rsidP="00932C0C">
      <w:pPr>
        <w:rPr>
          <w:rFonts w:cs="Arial"/>
          <w:szCs w:val="22"/>
        </w:rPr>
      </w:pPr>
      <w:r w:rsidRPr="00C77D99">
        <w:rPr>
          <w:rFonts w:cs="Arial"/>
        </w:rPr>
        <w:lastRenderedPageBreak/>
        <w:t>To reduce foodborne illness, interventions targeted to these sectors need to be multi-faceted</w:t>
      </w:r>
      <w:r>
        <w:rPr>
          <w:rFonts w:cs="Arial"/>
        </w:rPr>
        <w:t xml:space="preserve"> to address multiple high-risk activities</w:t>
      </w:r>
      <w:r w:rsidRPr="00C77D99">
        <w:rPr>
          <w:rFonts w:cs="Arial"/>
        </w:rPr>
        <w:t>. Measures aimed at strong food safety awareness and knowledge of appropriate food handling</w:t>
      </w:r>
      <w:r w:rsidR="001A3322">
        <w:rPr>
          <w:rFonts w:cs="Arial"/>
        </w:rPr>
        <w:t xml:space="preserve"> </w:t>
      </w:r>
      <w:r>
        <w:rPr>
          <w:rFonts w:cs="Arial"/>
        </w:rPr>
        <w:t>–</w:t>
      </w:r>
      <w:r w:rsidR="001A3322">
        <w:rPr>
          <w:rFonts w:cs="Arial"/>
        </w:rPr>
        <w:t xml:space="preserve"> </w:t>
      </w:r>
      <w:r w:rsidRPr="00C77D99">
        <w:rPr>
          <w:rFonts w:cs="Arial"/>
        </w:rPr>
        <w:t>from initial receipt through all stages of processing, storage and service of food to consumers</w:t>
      </w:r>
      <w:r w:rsidR="001A3322">
        <w:rPr>
          <w:rFonts w:cs="Arial"/>
        </w:rPr>
        <w:t xml:space="preserve"> </w:t>
      </w:r>
      <w:r>
        <w:rPr>
          <w:rFonts w:cs="Arial"/>
        </w:rPr>
        <w:t>–</w:t>
      </w:r>
      <w:r w:rsidR="001A3322">
        <w:rPr>
          <w:rFonts w:cs="Arial"/>
        </w:rPr>
        <w:t xml:space="preserve"> </w:t>
      </w:r>
      <w:r>
        <w:rPr>
          <w:rFonts w:cs="Arial"/>
        </w:rPr>
        <w:t>should improve the current situation</w:t>
      </w:r>
      <w:r w:rsidRPr="00C77D99">
        <w:rPr>
          <w:rFonts w:cs="Arial"/>
        </w:rPr>
        <w:t>.</w:t>
      </w:r>
    </w:p>
    <w:p w14:paraId="6C5572C2" w14:textId="77777777" w:rsidR="00932C0C" w:rsidRPr="00C77D99" w:rsidRDefault="00932C0C" w:rsidP="00932C0C">
      <w:pPr>
        <w:pStyle w:val="Heading3"/>
      </w:pPr>
      <w:bookmarkStart w:id="31" w:name="_Toc94172650"/>
      <w:r w:rsidRPr="00C77D99">
        <w:t xml:space="preserve">Review of business sector classifications </w:t>
      </w:r>
      <w:r>
        <w:t>based on food safety risk</w:t>
      </w:r>
      <w:bookmarkEnd w:id="31"/>
      <w:r>
        <w:t xml:space="preserve"> </w:t>
      </w:r>
    </w:p>
    <w:p w14:paraId="25206CB9" w14:textId="5FE0D19A" w:rsidR="00932C0C" w:rsidRPr="00686C1B" w:rsidRDefault="00932C0C" w:rsidP="00932C0C">
      <w:pPr>
        <w:rPr>
          <w:rFonts w:cs="Arial"/>
        </w:rPr>
      </w:pPr>
      <w:r>
        <w:rPr>
          <w:rFonts w:eastAsiaTheme="minorHAnsi" w:cs="Arial"/>
          <w:szCs w:val="22"/>
        </w:rPr>
        <w:t xml:space="preserve">In 2011, </w:t>
      </w:r>
      <w:r w:rsidRPr="001F5CF3">
        <w:rPr>
          <w:rFonts w:eastAsiaTheme="minorHAnsi" w:cs="Arial"/>
          <w:szCs w:val="22"/>
        </w:rPr>
        <w:t xml:space="preserve">the Department of Health and Ageing finalised the </w:t>
      </w:r>
      <w:r>
        <w:rPr>
          <w:rFonts w:eastAsiaTheme="minorHAnsi" w:cs="Arial"/>
          <w:szCs w:val="22"/>
        </w:rPr>
        <w:t xml:space="preserve">assignment of risk priority </w:t>
      </w:r>
      <w:r w:rsidRPr="001F5CF3">
        <w:rPr>
          <w:rFonts w:eastAsiaTheme="minorHAnsi" w:cs="Arial"/>
          <w:szCs w:val="22"/>
        </w:rPr>
        <w:t>classification</w:t>
      </w:r>
      <w:r>
        <w:rPr>
          <w:rFonts w:eastAsiaTheme="minorHAnsi" w:cs="Arial"/>
          <w:szCs w:val="22"/>
        </w:rPr>
        <w:t>s to eight</w:t>
      </w:r>
      <w:r w:rsidRPr="001F5CF3">
        <w:rPr>
          <w:rFonts w:eastAsiaTheme="minorHAnsi" w:cs="Arial"/>
          <w:szCs w:val="22"/>
        </w:rPr>
        <w:t xml:space="preserve"> </w:t>
      </w:r>
      <w:r>
        <w:rPr>
          <w:rFonts w:eastAsiaTheme="minorHAnsi" w:cs="Arial"/>
          <w:szCs w:val="22"/>
        </w:rPr>
        <w:t xml:space="preserve">food service and food retail </w:t>
      </w:r>
      <w:r w:rsidRPr="001F5CF3">
        <w:rPr>
          <w:rFonts w:eastAsiaTheme="minorHAnsi" w:cs="Arial"/>
          <w:szCs w:val="22"/>
        </w:rPr>
        <w:t>business types</w:t>
      </w:r>
      <w:r>
        <w:rPr>
          <w:rFonts w:eastAsiaTheme="minorHAnsi" w:cs="Arial"/>
          <w:szCs w:val="22"/>
        </w:rPr>
        <w:t xml:space="preserve"> using the Framework (described in section 2). These </w:t>
      </w:r>
      <w:r w:rsidRPr="00D90680">
        <w:rPr>
          <w:rFonts w:cs="Arial"/>
        </w:rPr>
        <w:t xml:space="preserve">business sectors </w:t>
      </w:r>
      <w:r w:rsidRPr="00686C1B">
        <w:rPr>
          <w:rFonts w:eastAsiaTheme="minorHAnsi" w:cs="Arial"/>
          <w:szCs w:val="22"/>
        </w:rPr>
        <w:t>were</w:t>
      </w:r>
      <w:r>
        <w:rPr>
          <w:rFonts w:eastAsiaTheme="minorHAnsi" w:cs="Arial"/>
          <w:szCs w:val="22"/>
        </w:rPr>
        <w:t xml:space="preserve"> all</w:t>
      </w:r>
      <w:r w:rsidRPr="00686C1B">
        <w:rPr>
          <w:rFonts w:eastAsiaTheme="minorHAnsi" w:cs="Arial"/>
          <w:szCs w:val="22"/>
        </w:rPr>
        <w:t xml:space="preserve"> assigned classifications in the two highest risk categories (Priority 1 and 2</w:t>
      </w:r>
      <w:r>
        <w:rPr>
          <w:rFonts w:eastAsiaTheme="minorHAnsi" w:cs="Arial"/>
          <w:szCs w:val="22"/>
        </w:rPr>
        <w:t xml:space="preserve">). A detailed analysis is provided in </w:t>
      </w:r>
      <w:r w:rsidRPr="00FC252D">
        <w:rPr>
          <w:rFonts w:eastAsiaTheme="minorHAnsi" w:cs="Arial"/>
          <w:szCs w:val="22"/>
        </w:rPr>
        <w:t>SD</w:t>
      </w:r>
      <w:r w:rsidR="004C47E5">
        <w:rPr>
          <w:rFonts w:eastAsiaTheme="minorHAnsi" w:cs="Arial"/>
          <w:szCs w:val="22"/>
        </w:rPr>
        <w:t>2</w:t>
      </w:r>
      <w:r>
        <w:rPr>
          <w:rFonts w:eastAsiaTheme="minorHAnsi" w:cs="Arial"/>
          <w:szCs w:val="22"/>
        </w:rPr>
        <w:t>.</w:t>
      </w:r>
    </w:p>
    <w:p w14:paraId="67F7AC94" w14:textId="77777777" w:rsidR="00932C0C" w:rsidRDefault="00932C0C" w:rsidP="00932C0C">
      <w:pPr>
        <w:widowControl/>
      </w:pPr>
    </w:p>
    <w:p w14:paraId="23A48C86" w14:textId="77777777" w:rsidR="00932C0C" w:rsidRDefault="00932C0C" w:rsidP="00932C0C">
      <w:pPr>
        <w:widowControl/>
        <w:rPr>
          <w:rFonts w:cs="Arial"/>
        </w:rPr>
      </w:pPr>
      <w:r>
        <w:t>FSANZ reviewed</w:t>
      </w:r>
      <w:r w:rsidRPr="00C77D99">
        <w:rPr>
          <w:rFonts w:cs="Arial"/>
          <w:lang w:bidi="ar-SA"/>
        </w:rPr>
        <w:t xml:space="preserve"> the priority </w:t>
      </w:r>
      <w:r>
        <w:rPr>
          <w:rFonts w:cs="Arial"/>
          <w:lang w:bidi="ar-SA"/>
        </w:rPr>
        <w:t xml:space="preserve">business </w:t>
      </w:r>
      <w:r w:rsidRPr="00C77D99">
        <w:rPr>
          <w:rFonts w:cs="Arial"/>
          <w:lang w:bidi="ar-SA"/>
        </w:rPr>
        <w:t>classifications</w:t>
      </w:r>
      <w:r>
        <w:rPr>
          <w:rFonts w:cs="Arial"/>
          <w:lang w:bidi="ar-SA"/>
        </w:rPr>
        <w:t xml:space="preserve"> for these business sectors</w:t>
      </w:r>
      <w:r>
        <w:rPr>
          <w:rFonts w:cs="Arial"/>
        </w:rPr>
        <w:t xml:space="preserve">, in light of more recent </w:t>
      </w:r>
      <w:r w:rsidRPr="00C77D99">
        <w:rPr>
          <w:rFonts w:cs="Arial"/>
          <w:lang w:bidi="ar-SA"/>
        </w:rPr>
        <w:t xml:space="preserve">epidemiological </w:t>
      </w:r>
      <w:r>
        <w:rPr>
          <w:rFonts w:cs="Arial"/>
        </w:rPr>
        <w:t>data</w:t>
      </w:r>
      <w:r>
        <w:rPr>
          <w:rFonts w:cs="Arial"/>
          <w:lang w:bidi="ar-SA"/>
        </w:rPr>
        <w:t xml:space="preserve">. </w:t>
      </w:r>
    </w:p>
    <w:p w14:paraId="7AAFB396" w14:textId="77777777" w:rsidR="00932C0C" w:rsidRDefault="00932C0C" w:rsidP="00932C0C">
      <w:pPr>
        <w:widowControl/>
        <w:rPr>
          <w:rFonts w:cs="Arial"/>
        </w:rPr>
      </w:pPr>
    </w:p>
    <w:p w14:paraId="41898990" w14:textId="3E7A097B" w:rsidR="00932C0C" w:rsidRPr="00C77D99" w:rsidRDefault="00932C0C" w:rsidP="00932C0C">
      <w:pPr>
        <w:widowControl/>
      </w:pPr>
      <w:r>
        <w:rPr>
          <w:rFonts w:cs="Arial"/>
        </w:rPr>
        <w:t>Our</w:t>
      </w:r>
      <w:r w:rsidRPr="00C77D99">
        <w:rPr>
          <w:rFonts w:cs="Arial"/>
        </w:rPr>
        <w:t xml:space="preserve"> assessment</w:t>
      </w:r>
      <w:r>
        <w:rPr>
          <w:rFonts w:cs="Arial"/>
        </w:rPr>
        <w:t xml:space="preserve"> found</w:t>
      </w:r>
      <w:r w:rsidRPr="00C77D99">
        <w:rPr>
          <w:rFonts w:cs="Arial"/>
        </w:rPr>
        <w:t xml:space="preserve"> </w:t>
      </w:r>
      <w:r>
        <w:rPr>
          <w:rFonts w:cs="Arial"/>
        </w:rPr>
        <w:t>m</w:t>
      </w:r>
      <w:r w:rsidRPr="00C77D99">
        <w:rPr>
          <w:rFonts w:cs="Arial"/>
        </w:rPr>
        <w:t>uch of the</w:t>
      </w:r>
      <w:r w:rsidRPr="00C77D99">
        <w:t xml:space="preserve"> </w:t>
      </w:r>
      <w:r w:rsidRPr="00C77D99">
        <w:rPr>
          <w:rFonts w:cs="Arial"/>
        </w:rPr>
        <w:t xml:space="preserve">background information provided by Ross et al. (2009) is still relevant to the classified businesses, and the majority of priority classifications </w:t>
      </w:r>
      <w:r>
        <w:rPr>
          <w:rFonts w:cs="Arial"/>
        </w:rPr>
        <w:t>are</w:t>
      </w:r>
      <w:r w:rsidRPr="00C77D99">
        <w:rPr>
          <w:rFonts w:cs="Arial"/>
        </w:rPr>
        <w:t xml:space="preserve"> still relevant</w:t>
      </w:r>
      <w:r>
        <w:rPr>
          <w:rFonts w:cs="Arial"/>
        </w:rPr>
        <w:t>.</w:t>
      </w:r>
      <w:r w:rsidRPr="00C77D99">
        <w:rPr>
          <w:rFonts w:cs="Arial"/>
        </w:rPr>
        <w:t xml:space="preserve"> Those priority classifications are presented in </w:t>
      </w:r>
      <w:r>
        <w:rPr>
          <w:rFonts w:cs="Arial"/>
        </w:rPr>
        <w:t>T</w:t>
      </w:r>
      <w:r w:rsidRPr="00C77D99">
        <w:rPr>
          <w:rFonts w:cs="Arial"/>
        </w:rPr>
        <w:t xml:space="preserve">able </w:t>
      </w:r>
      <w:r w:rsidR="00570435">
        <w:rPr>
          <w:rFonts w:cs="Arial"/>
        </w:rPr>
        <w:t>3.</w:t>
      </w:r>
      <w:r w:rsidRPr="00C77D99">
        <w:rPr>
          <w:rFonts w:cs="Arial"/>
        </w:rPr>
        <w:t xml:space="preserve"> </w:t>
      </w:r>
    </w:p>
    <w:p w14:paraId="546F2DC1" w14:textId="77777777" w:rsidR="00932C0C" w:rsidRPr="00C77D99" w:rsidRDefault="00932C0C" w:rsidP="00932C0C">
      <w:pPr>
        <w:pStyle w:val="Heading3"/>
      </w:pPr>
      <w:bookmarkStart w:id="32" w:name="_Toc94172651"/>
      <w:r w:rsidRPr="00C77D99">
        <w:t xml:space="preserve">Priority categorisation of </w:t>
      </w:r>
      <w:r>
        <w:t xml:space="preserve">food </w:t>
      </w:r>
      <w:r w:rsidRPr="00C77D99">
        <w:t>handling activities</w:t>
      </w:r>
      <w:bookmarkEnd w:id="32"/>
      <w:r w:rsidRPr="00C77D99">
        <w:t xml:space="preserve"> </w:t>
      </w:r>
    </w:p>
    <w:p w14:paraId="483B3A27" w14:textId="246CE60C" w:rsidR="00932C0C" w:rsidRDefault="00932C0C" w:rsidP="00932C0C">
      <w:pPr>
        <w:spacing w:after="240"/>
      </w:pPr>
      <w:r>
        <w:t xml:space="preserve">The nationally agreed Framework has been adopted for use in some Australian jurisdictions, while other jurisdictions use an alternative classification system. The different approaches across Australian jurisdictions are summarised in Table </w:t>
      </w:r>
      <w:r w:rsidR="00570435">
        <w:t>2</w:t>
      </w:r>
      <w:r>
        <w:t xml:space="preserve">. </w:t>
      </w:r>
    </w:p>
    <w:p w14:paraId="2332B95F" w14:textId="146E660B" w:rsidR="00932C0C" w:rsidRPr="00C439D2" w:rsidRDefault="00932C0C" w:rsidP="00932C0C">
      <w:pPr>
        <w:pStyle w:val="Caption"/>
        <w:keepNext/>
        <w:rPr>
          <w:b/>
          <w:color w:val="auto"/>
        </w:rPr>
      </w:pPr>
      <w:r w:rsidRPr="00C439D2">
        <w:rPr>
          <w:b/>
          <w:color w:val="auto"/>
        </w:rPr>
        <w:t xml:space="preserve">Table </w:t>
      </w:r>
      <w:r w:rsidRPr="00C439D2">
        <w:rPr>
          <w:b/>
          <w:color w:val="auto"/>
        </w:rPr>
        <w:fldChar w:fldCharType="begin"/>
      </w:r>
      <w:r w:rsidRPr="00C439D2">
        <w:rPr>
          <w:b/>
          <w:color w:val="auto"/>
        </w:rPr>
        <w:instrText xml:space="preserve"> SEQ Table \* ARABIC </w:instrText>
      </w:r>
      <w:r w:rsidRPr="00C439D2">
        <w:rPr>
          <w:b/>
          <w:color w:val="auto"/>
        </w:rPr>
        <w:fldChar w:fldCharType="separate"/>
      </w:r>
      <w:r w:rsidR="00302799">
        <w:rPr>
          <w:b/>
          <w:noProof/>
          <w:color w:val="auto"/>
        </w:rPr>
        <w:t>2</w:t>
      </w:r>
      <w:r w:rsidRPr="00C439D2">
        <w:rPr>
          <w:b/>
          <w:color w:val="auto"/>
        </w:rPr>
        <w:fldChar w:fldCharType="end"/>
      </w:r>
      <w:r w:rsidRPr="00C439D2">
        <w:rPr>
          <w:b/>
          <w:color w:val="auto"/>
        </w:rPr>
        <w:t>: Summary of risk classification systems used in each Australian jurisdiction</w:t>
      </w:r>
    </w:p>
    <w:tbl>
      <w:tblPr>
        <w:tblStyle w:val="TableGrid"/>
        <w:tblW w:w="9493" w:type="dxa"/>
        <w:tblLook w:val="04A0" w:firstRow="1" w:lastRow="0" w:firstColumn="1" w:lastColumn="0" w:noHBand="0" w:noVBand="1"/>
      </w:tblPr>
      <w:tblGrid>
        <w:gridCol w:w="2472"/>
        <w:gridCol w:w="7021"/>
      </w:tblGrid>
      <w:tr w:rsidR="00932C0C" w14:paraId="009E22ED" w14:textId="77777777" w:rsidTr="00A13E6D">
        <w:tc>
          <w:tcPr>
            <w:tcW w:w="2472" w:type="dxa"/>
            <w:shd w:val="clear" w:color="auto" w:fill="D9D9D9" w:themeFill="background1" w:themeFillShade="D9"/>
          </w:tcPr>
          <w:p w14:paraId="6BFE24C3" w14:textId="77777777" w:rsidR="00932C0C" w:rsidRPr="00174656" w:rsidRDefault="00932C0C" w:rsidP="002C2A21">
            <w:pPr>
              <w:spacing w:after="85"/>
              <w:rPr>
                <w:b/>
                <w:sz w:val="20"/>
                <w:szCs w:val="20"/>
              </w:rPr>
            </w:pPr>
            <w:r w:rsidRPr="00174656">
              <w:rPr>
                <w:b/>
                <w:sz w:val="20"/>
                <w:szCs w:val="20"/>
              </w:rPr>
              <w:t>Jurisdiction</w:t>
            </w:r>
          </w:p>
        </w:tc>
        <w:tc>
          <w:tcPr>
            <w:tcW w:w="7021" w:type="dxa"/>
            <w:shd w:val="clear" w:color="auto" w:fill="D9D9D9" w:themeFill="background1" w:themeFillShade="D9"/>
          </w:tcPr>
          <w:p w14:paraId="0FD52FF9" w14:textId="77777777" w:rsidR="00932C0C" w:rsidRPr="00174656" w:rsidRDefault="00932C0C" w:rsidP="002C2A21">
            <w:pPr>
              <w:spacing w:after="85"/>
              <w:rPr>
                <w:b/>
                <w:sz w:val="20"/>
                <w:szCs w:val="20"/>
              </w:rPr>
            </w:pPr>
            <w:r w:rsidRPr="00174656">
              <w:rPr>
                <w:b/>
                <w:sz w:val="20"/>
                <w:szCs w:val="20"/>
              </w:rPr>
              <w:t>Risk classification system used</w:t>
            </w:r>
          </w:p>
        </w:tc>
      </w:tr>
      <w:tr w:rsidR="00932C0C" w14:paraId="05DD922E" w14:textId="77777777" w:rsidTr="00A13E6D">
        <w:tc>
          <w:tcPr>
            <w:tcW w:w="2472" w:type="dxa"/>
          </w:tcPr>
          <w:p w14:paraId="4DAE8BCE" w14:textId="77777777" w:rsidR="00932C0C" w:rsidRPr="00174656" w:rsidRDefault="00932C0C" w:rsidP="002C2A21">
            <w:pPr>
              <w:spacing w:after="85"/>
              <w:rPr>
                <w:sz w:val="20"/>
                <w:szCs w:val="20"/>
              </w:rPr>
            </w:pPr>
            <w:r>
              <w:rPr>
                <w:sz w:val="20"/>
                <w:szCs w:val="20"/>
              </w:rPr>
              <w:t>Australian Capital Territory</w:t>
            </w:r>
          </w:p>
        </w:tc>
        <w:tc>
          <w:tcPr>
            <w:tcW w:w="7021" w:type="dxa"/>
          </w:tcPr>
          <w:p w14:paraId="3C363009" w14:textId="65086185" w:rsidR="00932C0C" w:rsidRPr="00174656" w:rsidRDefault="00932C0C" w:rsidP="002C2A21">
            <w:pPr>
              <w:spacing w:after="85"/>
              <w:rPr>
                <w:sz w:val="20"/>
                <w:szCs w:val="20"/>
              </w:rPr>
            </w:pPr>
            <w:r>
              <w:rPr>
                <w:sz w:val="20"/>
                <w:szCs w:val="20"/>
              </w:rPr>
              <w:t>Currently use</w:t>
            </w:r>
            <w:r w:rsidR="00D14082">
              <w:rPr>
                <w:sz w:val="20"/>
                <w:szCs w:val="20"/>
              </w:rPr>
              <w:t>s</w:t>
            </w:r>
            <w:r>
              <w:rPr>
                <w:sz w:val="20"/>
                <w:szCs w:val="20"/>
              </w:rPr>
              <w:t xml:space="preserve"> ANZFA* priority classification system for food businesses (low, medium, high)</w:t>
            </w:r>
            <w:r>
              <w:rPr>
                <w:rStyle w:val="FootnoteReference"/>
                <w:sz w:val="20"/>
                <w:szCs w:val="20"/>
              </w:rPr>
              <w:footnoteReference w:id="12"/>
            </w:r>
            <w:r>
              <w:rPr>
                <w:sz w:val="20"/>
                <w:szCs w:val="20"/>
              </w:rPr>
              <w:t xml:space="preserve">. </w:t>
            </w:r>
          </w:p>
        </w:tc>
      </w:tr>
      <w:tr w:rsidR="00932C0C" w14:paraId="71A47D52" w14:textId="77777777" w:rsidTr="00A13E6D">
        <w:tc>
          <w:tcPr>
            <w:tcW w:w="2472" w:type="dxa"/>
          </w:tcPr>
          <w:p w14:paraId="203D9813" w14:textId="77777777" w:rsidR="00932C0C" w:rsidRPr="00174656" w:rsidRDefault="00932C0C" w:rsidP="002C2A21">
            <w:pPr>
              <w:spacing w:after="85"/>
              <w:rPr>
                <w:sz w:val="20"/>
                <w:szCs w:val="20"/>
              </w:rPr>
            </w:pPr>
            <w:r>
              <w:rPr>
                <w:sz w:val="20"/>
                <w:szCs w:val="20"/>
              </w:rPr>
              <w:t>New South Wales</w:t>
            </w:r>
          </w:p>
        </w:tc>
        <w:tc>
          <w:tcPr>
            <w:tcW w:w="7021" w:type="dxa"/>
          </w:tcPr>
          <w:p w14:paraId="75FFCE91" w14:textId="77777777" w:rsidR="00932C0C" w:rsidRPr="00174656" w:rsidRDefault="00932C0C" w:rsidP="002C2A21">
            <w:pPr>
              <w:spacing w:after="85"/>
              <w:rPr>
                <w:sz w:val="20"/>
                <w:szCs w:val="20"/>
              </w:rPr>
            </w:pPr>
            <w:r>
              <w:rPr>
                <w:sz w:val="20"/>
                <w:szCs w:val="20"/>
              </w:rPr>
              <w:t xml:space="preserve">Adopted the nationally agreed risk profiling framework </w:t>
            </w:r>
          </w:p>
        </w:tc>
      </w:tr>
      <w:tr w:rsidR="00932C0C" w14:paraId="14C8C6BA" w14:textId="77777777" w:rsidTr="00A13E6D">
        <w:tc>
          <w:tcPr>
            <w:tcW w:w="2472" w:type="dxa"/>
          </w:tcPr>
          <w:p w14:paraId="4E689B50" w14:textId="77777777" w:rsidR="00932C0C" w:rsidRDefault="00932C0C" w:rsidP="002C2A21">
            <w:pPr>
              <w:spacing w:after="85"/>
              <w:rPr>
                <w:sz w:val="20"/>
                <w:szCs w:val="20"/>
              </w:rPr>
            </w:pPr>
            <w:r>
              <w:rPr>
                <w:sz w:val="20"/>
                <w:szCs w:val="20"/>
              </w:rPr>
              <w:t>Northern Territory</w:t>
            </w:r>
          </w:p>
        </w:tc>
        <w:tc>
          <w:tcPr>
            <w:tcW w:w="7021" w:type="dxa"/>
          </w:tcPr>
          <w:p w14:paraId="1E1B34E4" w14:textId="77777777" w:rsidR="00932C0C" w:rsidRDefault="00932C0C" w:rsidP="002C2A21">
            <w:pPr>
              <w:spacing w:after="85"/>
              <w:rPr>
                <w:sz w:val="20"/>
                <w:szCs w:val="20"/>
              </w:rPr>
            </w:pPr>
            <w:r>
              <w:rPr>
                <w:sz w:val="20"/>
                <w:szCs w:val="20"/>
              </w:rPr>
              <w:t>Adopted the nationally agreed risk profiling framework.</w:t>
            </w:r>
          </w:p>
        </w:tc>
      </w:tr>
      <w:tr w:rsidR="00932C0C" w14:paraId="26C67317" w14:textId="77777777" w:rsidTr="00A13E6D">
        <w:tc>
          <w:tcPr>
            <w:tcW w:w="2472" w:type="dxa"/>
          </w:tcPr>
          <w:p w14:paraId="757C9460" w14:textId="77777777" w:rsidR="00932C0C" w:rsidRPr="00174656" w:rsidRDefault="00932C0C" w:rsidP="002C2A21">
            <w:pPr>
              <w:spacing w:after="85"/>
              <w:rPr>
                <w:sz w:val="20"/>
                <w:szCs w:val="20"/>
              </w:rPr>
            </w:pPr>
            <w:r>
              <w:rPr>
                <w:sz w:val="20"/>
                <w:szCs w:val="20"/>
              </w:rPr>
              <w:t>Queensland</w:t>
            </w:r>
          </w:p>
        </w:tc>
        <w:tc>
          <w:tcPr>
            <w:tcW w:w="7021" w:type="dxa"/>
          </w:tcPr>
          <w:p w14:paraId="475519AA" w14:textId="77777777" w:rsidR="00932C0C" w:rsidRPr="00174656" w:rsidRDefault="00932C0C" w:rsidP="002C2A21">
            <w:pPr>
              <w:spacing w:after="85"/>
              <w:rPr>
                <w:sz w:val="20"/>
                <w:szCs w:val="20"/>
              </w:rPr>
            </w:pPr>
            <w:r>
              <w:rPr>
                <w:sz w:val="20"/>
                <w:szCs w:val="20"/>
              </w:rPr>
              <w:t xml:space="preserve">Adopted a hybrid model based on nationally agreed risk profiling framework and ANZFA priority </w:t>
            </w:r>
            <w:r>
              <w:rPr>
                <w:sz w:val="20"/>
                <w:szCs w:val="20"/>
              </w:rPr>
              <w:lastRenderedPageBreak/>
              <w:t>classification system</w:t>
            </w:r>
            <w:r>
              <w:rPr>
                <w:rStyle w:val="FootnoteReference"/>
                <w:sz w:val="20"/>
                <w:szCs w:val="20"/>
              </w:rPr>
              <w:footnoteReference w:id="13"/>
            </w:r>
            <w:r>
              <w:rPr>
                <w:sz w:val="20"/>
                <w:szCs w:val="20"/>
              </w:rPr>
              <w:t>.</w:t>
            </w:r>
          </w:p>
        </w:tc>
      </w:tr>
      <w:tr w:rsidR="00932C0C" w14:paraId="499BAAFA" w14:textId="77777777" w:rsidTr="00A13E6D">
        <w:tc>
          <w:tcPr>
            <w:tcW w:w="2472" w:type="dxa"/>
          </w:tcPr>
          <w:p w14:paraId="2639F526" w14:textId="77777777" w:rsidR="00932C0C" w:rsidRPr="00174656" w:rsidRDefault="00932C0C" w:rsidP="002C2A21">
            <w:pPr>
              <w:spacing w:after="85"/>
              <w:rPr>
                <w:sz w:val="20"/>
                <w:szCs w:val="20"/>
              </w:rPr>
            </w:pPr>
            <w:r>
              <w:rPr>
                <w:sz w:val="20"/>
                <w:szCs w:val="20"/>
              </w:rPr>
              <w:lastRenderedPageBreak/>
              <w:t>South Australia</w:t>
            </w:r>
          </w:p>
        </w:tc>
        <w:tc>
          <w:tcPr>
            <w:tcW w:w="7021" w:type="dxa"/>
          </w:tcPr>
          <w:p w14:paraId="187E8AB3" w14:textId="77777777" w:rsidR="00932C0C" w:rsidRPr="00174656" w:rsidRDefault="00932C0C" w:rsidP="002C2A21">
            <w:pPr>
              <w:spacing w:after="85"/>
              <w:rPr>
                <w:sz w:val="20"/>
                <w:szCs w:val="20"/>
              </w:rPr>
            </w:pPr>
            <w:r>
              <w:rPr>
                <w:sz w:val="20"/>
                <w:szCs w:val="20"/>
              </w:rPr>
              <w:t>Adopted the nationally agreed risk profiling framework.</w:t>
            </w:r>
          </w:p>
        </w:tc>
      </w:tr>
      <w:tr w:rsidR="00932C0C" w14:paraId="3D05A4F6" w14:textId="77777777" w:rsidTr="00A13E6D">
        <w:tc>
          <w:tcPr>
            <w:tcW w:w="2472" w:type="dxa"/>
          </w:tcPr>
          <w:p w14:paraId="73FB0A44" w14:textId="77777777" w:rsidR="00932C0C" w:rsidRPr="00174656" w:rsidRDefault="00932C0C" w:rsidP="002C2A21">
            <w:pPr>
              <w:spacing w:after="85"/>
              <w:rPr>
                <w:sz w:val="20"/>
                <w:szCs w:val="20"/>
              </w:rPr>
            </w:pPr>
            <w:r>
              <w:rPr>
                <w:sz w:val="20"/>
                <w:szCs w:val="20"/>
              </w:rPr>
              <w:t>Tasmania</w:t>
            </w:r>
          </w:p>
        </w:tc>
        <w:tc>
          <w:tcPr>
            <w:tcW w:w="7021" w:type="dxa"/>
          </w:tcPr>
          <w:p w14:paraId="00C5BD8E" w14:textId="77777777" w:rsidR="00932C0C" w:rsidRPr="00174656" w:rsidRDefault="00932C0C" w:rsidP="002C2A21">
            <w:pPr>
              <w:spacing w:after="85"/>
              <w:rPr>
                <w:sz w:val="20"/>
                <w:szCs w:val="20"/>
              </w:rPr>
            </w:pPr>
            <w:r>
              <w:rPr>
                <w:sz w:val="20"/>
                <w:szCs w:val="20"/>
              </w:rPr>
              <w:t>Adopted the nationally agreed risk profiling framework.</w:t>
            </w:r>
          </w:p>
        </w:tc>
      </w:tr>
      <w:tr w:rsidR="00932C0C" w14:paraId="11F17E90" w14:textId="77777777" w:rsidTr="00A13E6D">
        <w:tc>
          <w:tcPr>
            <w:tcW w:w="2472" w:type="dxa"/>
          </w:tcPr>
          <w:p w14:paraId="1C9649F0" w14:textId="77777777" w:rsidR="00932C0C" w:rsidRPr="00174656" w:rsidRDefault="00932C0C" w:rsidP="002C2A21">
            <w:pPr>
              <w:spacing w:after="85"/>
              <w:rPr>
                <w:sz w:val="20"/>
                <w:szCs w:val="20"/>
              </w:rPr>
            </w:pPr>
            <w:r>
              <w:rPr>
                <w:sz w:val="20"/>
                <w:szCs w:val="20"/>
              </w:rPr>
              <w:t>Victoria</w:t>
            </w:r>
          </w:p>
        </w:tc>
        <w:tc>
          <w:tcPr>
            <w:tcW w:w="7021" w:type="dxa"/>
          </w:tcPr>
          <w:p w14:paraId="4C9F2F96" w14:textId="33B75608" w:rsidR="00932C0C" w:rsidRPr="00174656" w:rsidRDefault="00932C0C" w:rsidP="002C2A21">
            <w:pPr>
              <w:spacing w:after="85"/>
              <w:rPr>
                <w:sz w:val="20"/>
                <w:szCs w:val="20"/>
              </w:rPr>
            </w:pPr>
            <w:r>
              <w:rPr>
                <w:sz w:val="20"/>
                <w:szCs w:val="20"/>
              </w:rPr>
              <w:t>Use</w:t>
            </w:r>
            <w:r w:rsidR="00D14082">
              <w:rPr>
                <w:sz w:val="20"/>
                <w:szCs w:val="20"/>
              </w:rPr>
              <w:t>s</w:t>
            </w:r>
            <w:r>
              <w:rPr>
                <w:sz w:val="20"/>
                <w:szCs w:val="20"/>
              </w:rPr>
              <w:t xml:space="preserve"> VIC food business classifications, Class 1 to 4 with Class 1 being highest risk</w:t>
            </w:r>
            <w:r>
              <w:rPr>
                <w:rStyle w:val="FootnoteReference"/>
                <w:sz w:val="20"/>
                <w:szCs w:val="20"/>
              </w:rPr>
              <w:footnoteReference w:id="14"/>
            </w:r>
            <w:r>
              <w:rPr>
                <w:sz w:val="20"/>
                <w:szCs w:val="20"/>
              </w:rPr>
              <w:t xml:space="preserve">. </w:t>
            </w:r>
          </w:p>
        </w:tc>
      </w:tr>
      <w:tr w:rsidR="00932C0C" w14:paraId="6E16C731" w14:textId="77777777" w:rsidTr="00A13E6D">
        <w:tc>
          <w:tcPr>
            <w:tcW w:w="2472" w:type="dxa"/>
          </w:tcPr>
          <w:p w14:paraId="78911175" w14:textId="77777777" w:rsidR="00932C0C" w:rsidRPr="00174656" w:rsidRDefault="00932C0C" w:rsidP="002C2A21">
            <w:pPr>
              <w:spacing w:after="85"/>
              <w:rPr>
                <w:sz w:val="20"/>
                <w:szCs w:val="20"/>
              </w:rPr>
            </w:pPr>
            <w:r>
              <w:rPr>
                <w:sz w:val="20"/>
                <w:szCs w:val="20"/>
              </w:rPr>
              <w:t>Western Australia</w:t>
            </w:r>
          </w:p>
        </w:tc>
        <w:tc>
          <w:tcPr>
            <w:tcW w:w="7021" w:type="dxa"/>
          </w:tcPr>
          <w:p w14:paraId="7057A9B7" w14:textId="1D3F19BC" w:rsidR="00932C0C" w:rsidRPr="004D0772" w:rsidRDefault="00932C0C" w:rsidP="002C2A21">
            <w:pPr>
              <w:spacing w:after="85"/>
              <w:rPr>
                <w:sz w:val="20"/>
                <w:szCs w:val="20"/>
              </w:rPr>
            </w:pPr>
            <w:r>
              <w:rPr>
                <w:sz w:val="20"/>
                <w:szCs w:val="20"/>
              </w:rPr>
              <w:t>Uses an amended ANZFA priority classification system (low, medium, high)</w:t>
            </w:r>
            <w:r>
              <w:rPr>
                <w:rStyle w:val="FootnoteReference"/>
                <w:sz w:val="20"/>
                <w:szCs w:val="20"/>
              </w:rPr>
              <w:footnoteReference w:id="15"/>
            </w:r>
            <w:r>
              <w:rPr>
                <w:sz w:val="20"/>
                <w:szCs w:val="20"/>
              </w:rPr>
              <w:t>.</w:t>
            </w:r>
            <w:r w:rsidR="00FC252D">
              <w:rPr>
                <w:sz w:val="20"/>
                <w:szCs w:val="20"/>
              </w:rPr>
              <w:t xml:space="preserve"> </w:t>
            </w:r>
          </w:p>
        </w:tc>
      </w:tr>
    </w:tbl>
    <w:p w14:paraId="7AE48A6C" w14:textId="77777777" w:rsidR="00932C0C" w:rsidRPr="006A159A" w:rsidRDefault="00932C0C" w:rsidP="00932C0C">
      <w:pPr>
        <w:rPr>
          <w:sz w:val="18"/>
        </w:rPr>
      </w:pPr>
      <w:r w:rsidRPr="006A159A">
        <w:rPr>
          <w:sz w:val="18"/>
        </w:rPr>
        <w:t xml:space="preserve">* Food Standards Australia New Zealand (FSANZ) was formerly the Australia New Zealand Food Authority (ANZFA). </w:t>
      </w:r>
    </w:p>
    <w:p w14:paraId="2C9F5988" w14:textId="77777777" w:rsidR="00932C0C" w:rsidRDefault="00932C0C" w:rsidP="00932C0C">
      <w:pPr>
        <w:rPr>
          <w:rFonts w:cs="Arial"/>
          <w:lang w:val="en-AU"/>
        </w:rPr>
      </w:pPr>
    </w:p>
    <w:p w14:paraId="783A7977" w14:textId="47924554" w:rsidR="00932C0C" w:rsidRDefault="00932C0C" w:rsidP="00932C0C">
      <w:pPr>
        <w:rPr>
          <w:shd w:val="clear" w:color="auto" w:fill="FFFFFF"/>
        </w:rPr>
      </w:pPr>
      <w:r>
        <w:rPr>
          <w:rFonts w:cs="Arial"/>
          <w:lang w:val="en-AU"/>
        </w:rPr>
        <w:t xml:space="preserve">As the risk classification approach varies across jurisdictions, FSANZ considered an alternate way </w:t>
      </w:r>
      <w:r w:rsidRPr="00C77D99">
        <w:rPr>
          <w:rFonts w:cs="Arial"/>
          <w:lang w:val="en-AU"/>
        </w:rPr>
        <w:t xml:space="preserve">of </w:t>
      </w:r>
      <w:r>
        <w:rPr>
          <w:rFonts w:cs="Arial"/>
          <w:lang w:val="en-AU"/>
        </w:rPr>
        <w:t>categorising</w:t>
      </w:r>
      <w:r w:rsidRPr="00C77D99">
        <w:rPr>
          <w:rFonts w:cs="Arial"/>
          <w:lang w:val="en-AU"/>
        </w:rPr>
        <w:t xml:space="preserve"> business</w:t>
      </w:r>
      <w:r>
        <w:rPr>
          <w:rFonts w:cs="Arial"/>
          <w:lang w:val="en-AU"/>
        </w:rPr>
        <w:t>es</w:t>
      </w:r>
      <w:r w:rsidRPr="00C77D99">
        <w:rPr>
          <w:rFonts w:cs="Arial"/>
          <w:lang w:val="en-AU"/>
        </w:rPr>
        <w:t xml:space="preserve"> based on food safety risks</w:t>
      </w:r>
      <w:r>
        <w:rPr>
          <w:rFonts w:cs="Arial"/>
          <w:lang w:val="en-AU"/>
        </w:rPr>
        <w:t xml:space="preserve">. We </w:t>
      </w:r>
      <w:r w:rsidRPr="00C77D99">
        <w:rPr>
          <w:rFonts w:cs="Arial"/>
        </w:rPr>
        <w:t>categorised the key food handling characteristics of businesses</w:t>
      </w:r>
      <w:r>
        <w:rPr>
          <w:rFonts w:cs="Arial"/>
        </w:rPr>
        <w:t xml:space="preserve"> in these sectors</w:t>
      </w:r>
      <w:r w:rsidRPr="00C77D99">
        <w:rPr>
          <w:rFonts w:cs="Arial"/>
        </w:rPr>
        <w:t xml:space="preserve">, </w:t>
      </w:r>
      <w:r w:rsidRPr="00C77D99">
        <w:rPr>
          <w:shd w:val="clear" w:color="auto" w:fill="FFFFFF"/>
        </w:rPr>
        <w:t xml:space="preserve">based on the number of food safety controls required, and the proportion of Australian foodborne outbreaks and associated people ill. Results are summarised in </w:t>
      </w:r>
      <w:r>
        <w:rPr>
          <w:shd w:val="clear" w:color="auto" w:fill="FFFFFF"/>
        </w:rPr>
        <w:t>T</w:t>
      </w:r>
      <w:r w:rsidRPr="00C77D99">
        <w:rPr>
          <w:shd w:val="clear" w:color="auto" w:fill="FFFFFF"/>
        </w:rPr>
        <w:t>able</w:t>
      </w:r>
      <w:r>
        <w:rPr>
          <w:shd w:val="clear" w:color="auto" w:fill="FFFFFF"/>
        </w:rPr>
        <w:t xml:space="preserve"> </w:t>
      </w:r>
      <w:r w:rsidR="00570435">
        <w:rPr>
          <w:shd w:val="clear" w:color="auto" w:fill="FFFFFF"/>
        </w:rPr>
        <w:t>3</w:t>
      </w:r>
      <w:r>
        <w:rPr>
          <w:shd w:val="clear" w:color="auto" w:fill="FFFFFF"/>
        </w:rPr>
        <w:t>.</w:t>
      </w:r>
    </w:p>
    <w:p w14:paraId="64DA47D6" w14:textId="77777777" w:rsidR="00AD2A00" w:rsidRDefault="00AD2A00" w:rsidP="00AD2A00">
      <w:pPr>
        <w:rPr>
          <w:shd w:val="clear" w:color="auto" w:fill="FFFFFF"/>
        </w:rPr>
      </w:pPr>
    </w:p>
    <w:p w14:paraId="2502C02D" w14:textId="77777777" w:rsidR="00AD2A00" w:rsidRDefault="00AD2A00" w:rsidP="00AD2A00">
      <w:pPr>
        <w:rPr>
          <w:shd w:val="clear" w:color="auto" w:fill="FFFFFF"/>
        </w:rPr>
      </w:pPr>
      <w:r w:rsidRPr="00C77D99">
        <w:rPr>
          <w:shd w:val="clear" w:color="auto" w:fill="FFFFFF"/>
        </w:rPr>
        <w:t xml:space="preserve">Handling activity 1, where </w:t>
      </w:r>
      <w:r>
        <w:rPr>
          <w:shd w:val="clear" w:color="auto" w:fill="FFFFFF"/>
        </w:rPr>
        <w:t>PHF</w:t>
      </w:r>
      <w:r w:rsidRPr="00C77D99">
        <w:rPr>
          <w:shd w:val="clear" w:color="auto" w:fill="FFFFFF"/>
        </w:rPr>
        <w:t xml:space="preserve"> is prepared in advance of serving, requires the greatest number of critical controls to manage food safety risks. There is a decreasing number of controls required to manage the safety of PHF with each subsequent handling activity. That is, controls for handling activity 1 &gt; activity 2 &gt; activity 3 &gt; activity 4. </w:t>
      </w:r>
    </w:p>
    <w:p w14:paraId="7593333E" w14:textId="77777777" w:rsidR="00AD2A00" w:rsidRDefault="00AD2A00" w:rsidP="00AD2A00">
      <w:pPr>
        <w:rPr>
          <w:shd w:val="clear" w:color="auto" w:fill="FFFFFF"/>
        </w:rPr>
      </w:pPr>
    </w:p>
    <w:p w14:paraId="2B21DADE" w14:textId="5E28DE8A" w:rsidR="00AD2A00" w:rsidRDefault="00AD2A00" w:rsidP="00AD2A00">
      <w:pPr>
        <w:rPr>
          <w:rFonts w:cs="Arial"/>
        </w:rPr>
      </w:pPr>
      <w:r w:rsidRPr="00C77D99">
        <w:rPr>
          <w:rFonts w:cs="Arial"/>
        </w:rPr>
        <w:t xml:space="preserve">While handling activity 1 requires more controls than handling activity 2, in practice both activities require similar knowledge and application of critical controls. Both activities involve high-risk </w:t>
      </w:r>
      <w:r w:rsidRPr="00C77D99">
        <w:rPr>
          <w:shd w:val="clear" w:color="auto" w:fill="FFFFFF"/>
        </w:rPr>
        <w:t>food that is ready to eat</w:t>
      </w:r>
      <w:r w:rsidRPr="00C77D99">
        <w:rPr>
          <w:rFonts w:cs="Arial"/>
        </w:rPr>
        <w:t>, so these controls are essential to both for food safety. As such, handling activity 1 and 2 have been grouped together in Category 1.</w:t>
      </w:r>
    </w:p>
    <w:p w14:paraId="60EE2B6C" w14:textId="77777777" w:rsidR="00AD2A00" w:rsidRPr="00C77D99" w:rsidRDefault="00AD2A00" w:rsidP="00AD2A00">
      <w:pPr>
        <w:rPr>
          <w:rFonts w:cs="Arial"/>
        </w:rPr>
      </w:pPr>
    </w:p>
    <w:p w14:paraId="39FB45F6" w14:textId="77777777" w:rsidR="00AD2A00" w:rsidRPr="00EE6137" w:rsidRDefault="00AD2A00" w:rsidP="00AD2A00">
      <w:pPr>
        <w:rPr>
          <w:sz w:val="16"/>
          <w:szCs w:val="20"/>
          <w:shd w:val="clear" w:color="auto" w:fill="FFFFFF"/>
        </w:rPr>
      </w:pPr>
      <w:r w:rsidRPr="00C77D99">
        <w:rPr>
          <w:shd w:val="clear" w:color="auto" w:fill="FFFFFF"/>
        </w:rPr>
        <w:t xml:space="preserve">Most businesses in Category 1, who carry out food handling activities 1 and 2, are in the types of settings responsible for the most outbreaks and persons ill (i.e. restaurants, commercial caterers, takeaways, bakeries). Businesses in Category 2 </w:t>
      </w:r>
      <w:r>
        <w:rPr>
          <w:shd w:val="clear" w:color="auto" w:fill="FFFFFF"/>
        </w:rPr>
        <w:t xml:space="preserve">also </w:t>
      </w:r>
      <w:r w:rsidRPr="00C77D99">
        <w:rPr>
          <w:shd w:val="clear" w:color="auto" w:fill="FFFFFF"/>
        </w:rPr>
        <w:t>contribute to foodborne outbreaks</w:t>
      </w:r>
      <w:r>
        <w:rPr>
          <w:shd w:val="clear" w:color="auto" w:fill="FFFFFF"/>
        </w:rPr>
        <w:t>, but</w:t>
      </w:r>
      <w:r w:rsidRPr="00C77D99" w:rsidDel="002914FF">
        <w:rPr>
          <w:shd w:val="clear" w:color="auto" w:fill="FFFFFF"/>
        </w:rPr>
        <w:t xml:space="preserve"> </w:t>
      </w:r>
      <w:r w:rsidRPr="00C77D99">
        <w:rPr>
          <w:shd w:val="clear" w:color="auto" w:fill="FFFFFF"/>
        </w:rPr>
        <w:t xml:space="preserve">less frequently. There is little evidence that businesses in Category 3 contribute to outbreaks. </w:t>
      </w:r>
    </w:p>
    <w:p w14:paraId="173C4EF1" w14:textId="1E39CC49" w:rsidR="00C439D2" w:rsidRPr="00C439D2" w:rsidRDefault="00C439D2" w:rsidP="00C439D2">
      <w:pPr>
        <w:pStyle w:val="Caption"/>
        <w:keepNext/>
        <w:rPr>
          <w:b/>
          <w:color w:val="auto"/>
        </w:rPr>
      </w:pPr>
      <w:r w:rsidRPr="00C439D2">
        <w:rPr>
          <w:b/>
          <w:color w:val="auto"/>
        </w:rPr>
        <w:lastRenderedPageBreak/>
        <w:t xml:space="preserve">Table </w:t>
      </w:r>
      <w:r w:rsidRPr="00C439D2">
        <w:rPr>
          <w:b/>
          <w:color w:val="auto"/>
        </w:rPr>
        <w:fldChar w:fldCharType="begin"/>
      </w:r>
      <w:r w:rsidRPr="00C439D2">
        <w:rPr>
          <w:b/>
          <w:color w:val="auto"/>
        </w:rPr>
        <w:instrText xml:space="preserve"> SEQ Table \* ARABIC </w:instrText>
      </w:r>
      <w:r w:rsidRPr="00C439D2">
        <w:rPr>
          <w:b/>
          <w:color w:val="auto"/>
        </w:rPr>
        <w:fldChar w:fldCharType="separate"/>
      </w:r>
      <w:r w:rsidR="00302799">
        <w:rPr>
          <w:b/>
          <w:noProof/>
          <w:color w:val="auto"/>
        </w:rPr>
        <w:t>3</w:t>
      </w:r>
      <w:r w:rsidRPr="00C439D2">
        <w:rPr>
          <w:b/>
          <w:color w:val="auto"/>
        </w:rPr>
        <w:fldChar w:fldCharType="end"/>
      </w:r>
      <w:r w:rsidRPr="00C439D2">
        <w:rPr>
          <w:b/>
          <w:color w:val="auto"/>
        </w:rPr>
        <w:t>: Risk categorisation of businesses based on sector and handling activities</w:t>
      </w:r>
    </w:p>
    <w:tbl>
      <w:tblPr>
        <w:tblStyle w:val="TableGrid"/>
        <w:tblW w:w="10060" w:type="dxa"/>
        <w:tblLook w:val="04A0" w:firstRow="1" w:lastRow="0" w:firstColumn="1" w:lastColumn="0" w:noHBand="0" w:noVBand="1"/>
        <w:tblCaption w:val="Mapping of handling activities based on food safety risks"/>
        <w:tblDescription w:val="This table shows how the priority business sectors in the Ministerial Policy Guidelines are mapped to the three food handling categories FSANZ used to risk profile businesses. &#10;"/>
      </w:tblPr>
      <w:tblGrid>
        <w:gridCol w:w="3539"/>
        <w:gridCol w:w="2977"/>
        <w:gridCol w:w="3544"/>
      </w:tblGrid>
      <w:tr w:rsidR="00932C0C" w:rsidRPr="00EF6E55" w14:paraId="7CF07AEF" w14:textId="77777777" w:rsidTr="00FC252D">
        <w:trPr>
          <w:trHeight w:val="391"/>
          <w:tblHeader/>
        </w:trPr>
        <w:tc>
          <w:tcPr>
            <w:tcW w:w="3539" w:type="dxa"/>
            <w:shd w:val="clear" w:color="auto" w:fill="D9D9D9" w:themeFill="background1" w:themeFillShade="D9"/>
          </w:tcPr>
          <w:p w14:paraId="0D827511" w14:textId="77777777" w:rsidR="00932C0C" w:rsidRPr="00EF6E55" w:rsidRDefault="00932C0C" w:rsidP="002C2A21">
            <w:pPr>
              <w:rPr>
                <w:b/>
                <w:sz w:val="20"/>
                <w:szCs w:val="20"/>
                <w:shd w:val="clear" w:color="auto" w:fill="FFFFFF"/>
              </w:rPr>
            </w:pPr>
            <w:r w:rsidRPr="00EF6E55">
              <w:rPr>
                <w:b/>
                <w:sz w:val="20"/>
                <w:szCs w:val="20"/>
                <w:highlight w:val="lightGray"/>
                <w:shd w:val="clear" w:color="auto" w:fill="FFFFFF"/>
              </w:rPr>
              <w:t>Category</w:t>
            </w:r>
          </w:p>
          <w:p w14:paraId="60D1C811" w14:textId="77777777" w:rsidR="00932C0C" w:rsidRPr="00EF6E55" w:rsidRDefault="00932C0C" w:rsidP="002C2A21">
            <w:pPr>
              <w:jc w:val="center"/>
              <w:rPr>
                <w:b/>
                <w:sz w:val="20"/>
                <w:szCs w:val="20"/>
                <w:shd w:val="clear" w:color="auto" w:fill="FFFFFF"/>
              </w:rPr>
            </w:pPr>
          </w:p>
        </w:tc>
        <w:tc>
          <w:tcPr>
            <w:tcW w:w="2977" w:type="dxa"/>
            <w:shd w:val="clear" w:color="auto" w:fill="D9D9D9" w:themeFill="background1" w:themeFillShade="D9"/>
          </w:tcPr>
          <w:p w14:paraId="6AF52B89" w14:textId="77777777" w:rsidR="00932C0C" w:rsidRPr="00EF6E55" w:rsidRDefault="00932C0C" w:rsidP="002C2A21">
            <w:pPr>
              <w:rPr>
                <w:b/>
                <w:sz w:val="20"/>
                <w:szCs w:val="20"/>
                <w:highlight w:val="lightGray"/>
                <w:shd w:val="clear" w:color="auto" w:fill="FFFFFF"/>
              </w:rPr>
            </w:pPr>
            <w:r w:rsidRPr="00EF6E55">
              <w:rPr>
                <w:b/>
                <w:sz w:val="20"/>
                <w:szCs w:val="20"/>
                <w:highlight w:val="lightGray"/>
                <w:shd w:val="clear" w:color="auto" w:fill="FFFFFF"/>
              </w:rPr>
              <w:t>Handling activities</w:t>
            </w:r>
          </w:p>
        </w:tc>
        <w:tc>
          <w:tcPr>
            <w:tcW w:w="3544" w:type="dxa"/>
            <w:shd w:val="clear" w:color="auto" w:fill="D9D9D9" w:themeFill="background1" w:themeFillShade="D9"/>
          </w:tcPr>
          <w:p w14:paraId="5A940E2B" w14:textId="77777777" w:rsidR="00932C0C" w:rsidRPr="00EF6E55" w:rsidRDefault="00932C0C" w:rsidP="002C2A21">
            <w:pPr>
              <w:rPr>
                <w:b/>
                <w:sz w:val="20"/>
                <w:szCs w:val="20"/>
                <w:highlight w:val="lightGray"/>
                <w:shd w:val="clear" w:color="auto" w:fill="FFFFFF"/>
              </w:rPr>
            </w:pPr>
            <w:r>
              <w:rPr>
                <w:b/>
                <w:sz w:val="20"/>
                <w:szCs w:val="20"/>
                <w:highlight w:val="lightGray"/>
                <w:shd w:val="clear" w:color="auto" w:fill="FFFFFF"/>
              </w:rPr>
              <w:t>Associated p</w:t>
            </w:r>
            <w:r w:rsidRPr="00EF6E55">
              <w:rPr>
                <w:b/>
                <w:sz w:val="20"/>
                <w:szCs w:val="20"/>
                <w:highlight w:val="lightGray"/>
                <w:shd w:val="clear" w:color="auto" w:fill="FFFFFF"/>
              </w:rPr>
              <w:t>riority business sectors and classification</w:t>
            </w:r>
          </w:p>
        </w:tc>
      </w:tr>
      <w:tr w:rsidR="00932C0C" w:rsidRPr="00EF6E55" w14:paraId="79ABEB45" w14:textId="77777777" w:rsidTr="00FC252D">
        <w:trPr>
          <w:trHeight w:val="2828"/>
        </w:trPr>
        <w:tc>
          <w:tcPr>
            <w:tcW w:w="3539" w:type="dxa"/>
          </w:tcPr>
          <w:p w14:paraId="30A91192" w14:textId="77777777" w:rsidR="00932C0C" w:rsidRPr="00EF6E55" w:rsidRDefault="00932C0C" w:rsidP="002C2A21">
            <w:pPr>
              <w:rPr>
                <w:b/>
                <w:sz w:val="20"/>
                <w:szCs w:val="20"/>
                <w:u w:val="single"/>
                <w:shd w:val="clear" w:color="auto" w:fill="FFFFFF"/>
              </w:rPr>
            </w:pPr>
            <w:r w:rsidRPr="00EF6E55">
              <w:rPr>
                <w:b/>
                <w:sz w:val="20"/>
                <w:szCs w:val="20"/>
                <w:u w:val="single"/>
                <w:shd w:val="clear" w:color="auto" w:fill="FFFFFF"/>
              </w:rPr>
              <w:t xml:space="preserve">Category 1 </w:t>
            </w:r>
          </w:p>
          <w:p w14:paraId="6113D37F" w14:textId="77777777" w:rsidR="00932C0C" w:rsidRPr="00EF6E55" w:rsidRDefault="00932C0C" w:rsidP="002C2A21">
            <w:pPr>
              <w:rPr>
                <w:sz w:val="20"/>
                <w:szCs w:val="20"/>
                <w:shd w:val="clear" w:color="auto" w:fill="FFFFFF"/>
              </w:rPr>
            </w:pPr>
            <w:r w:rsidRPr="00EF6E55">
              <w:rPr>
                <w:sz w:val="20"/>
                <w:szCs w:val="20"/>
                <w:shd w:val="clear" w:color="auto" w:fill="FFFFFF"/>
              </w:rPr>
              <w:t xml:space="preserve">Those handling activities that: </w:t>
            </w:r>
          </w:p>
          <w:p w14:paraId="50A59796" w14:textId="77777777" w:rsidR="00932C0C" w:rsidRPr="00EF6E55" w:rsidRDefault="00932C0C" w:rsidP="002C2A21">
            <w:pPr>
              <w:pStyle w:val="ListParagraph"/>
              <w:numPr>
                <w:ilvl w:val="0"/>
                <w:numId w:val="23"/>
              </w:numPr>
              <w:ind w:left="316" w:hanging="284"/>
              <w:rPr>
                <w:sz w:val="20"/>
                <w:szCs w:val="20"/>
                <w:shd w:val="clear" w:color="auto" w:fill="FFFFFF"/>
              </w:rPr>
            </w:pPr>
            <w:r w:rsidRPr="00EF6E55">
              <w:rPr>
                <w:sz w:val="20"/>
                <w:szCs w:val="20"/>
                <w:shd w:val="clear" w:color="auto" w:fill="FFFFFF"/>
              </w:rPr>
              <w:t>require the greatest number of controls critical to the safety of food prepared by the business, and</w:t>
            </w:r>
          </w:p>
          <w:p w14:paraId="7BB53745" w14:textId="77777777" w:rsidR="00932C0C" w:rsidRPr="00EF6E55" w:rsidRDefault="00932C0C" w:rsidP="002C2A21">
            <w:pPr>
              <w:pStyle w:val="ListParagraph"/>
              <w:numPr>
                <w:ilvl w:val="0"/>
                <w:numId w:val="23"/>
              </w:numPr>
              <w:ind w:left="316" w:hanging="284"/>
              <w:rPr>
                <w:sz w:val="20"/>
                <w:szCs w:val="20"/>
                <w:shd w:val="clear" w:color="auto" w:fill="FFFFFF"/>
              </w:rPr>
            </w:pPr>
            <w:r w:rsidRPr="00EF6E55">
              <w:rPr>
                <w:sz w:val="20"/>
                <w:szCs w:val="20"/>
                <w:shd w:val="clear" w:color="auto" w:fill="FFFFFF"/>
              </w:rPr>
              <w:t xml:space="preserve">are most likely to be undertaken by business sectors associated with a high proportion of Australian foodborne illness outbreaks. </w:t>
            </w:r>
          </w:p>
        </w:tc>
        <w:tc>
          <w:tcPr>
            <w:tcW w:w="2977" w:type="dxa"/>
          </w:tcPr>
          <w:p w14:paraId="721653D7" w14:textId="77777777" w:rsidR="00932C0C" w:rsidRPr="00EF6E55" w:rsidRDefault="00932C0C" w:rsidP="002C2A21">
            <w:pPr>
              <w:rPr>
                <w:sz w:val="20"/>
                <w:szCs w:val="20"/>
                <w:shd w:val="clear" w:color="auto" w:fill="FFFFFF"/>
              </w:rPr>
            </w:pPr>
            <w:r w:rsidRPr="00EF6E55">
              <w:rPr>
                <w:b/>
                <w:sz w:val="20"/>
                <w:szCs w:val="20"/>
                <w:shd w:val="clear" w:color="auto" w:fill="FFFFFF"/>
              </w:rPr>
              <w:t>Handling activity 1:</w:t>
            </w:r>
            <w:r w:rsidRPr="00EF6E55">
              <w:rPr>
                <w:sz w:val="20"/>
                <w:szCs w:val="20"/>
                <w:shd w:val="clear" w:color="auto" w:fill="FFFFFF"/>
              </w:rPr>
              <w:t xml:space="preserve"> process high-risk potentially hazardous food in advance of serving the RTE food to the consumer.</w:t>
            </w:r>
          </w:p>
          <w:p w14:paraId="5D9B5005" w14:textId="77777777" w:rsidR="00932C0C" w:rsidRPr="00EF6E55" w:rsidRDefault="00932C0C" w:rsidP="002C2A21">
            <w:pPr>
              <w:rPr>
                <w:sz w:val="20"/>
                <w:szCs w:val="20"/>
                <w:shd w:val="clear" w:color="auto" w:fill="FFFFFF"/>
              </w:rPr>
            </w:pPr>
          </w:p>
          <w:p w14:paraId="2A59C5D5" w14:textId="77777777" w:rsidR="00932C0C" w:rsidRPr="00EF6E55" w:rsidRDefault="00932C0C" w:rsidP="002C2A21">
            <w:pPr>
              <w:rPr>
                <w:sz w:val="20"/>
                <w:szCs w:val="20"/>
                <w:shd w:val="clear" w:color="auto" w:fill="FFFFFF"/>
              </w:rPr>
            </w:pPr>
            <w:r w:rsidRPr="00EF6E55">
              <w:rPr>
                <w:b/>
                <w:sz w:val="20"/>
                <w:szCs w:val="20"/>
                <w:shd w:val="clear" w:color="auto" w:fill="FFFFFF"/>
              </w:rPr>
              <w:t>Handling activity 2:</w:t>
            </w:r>
            <w:r w:rsidRPr="00EF6E55">
              <w:rPr>
                <w:sz w:val="20"/>
                <w:szCs w:val="20"/>
                <w:shd w:val="clear" w:color="auto" w:fill="FFFFFF"/>
              </w:rPr>
              <w:t xml:space="preserve"> process and serve high</w:t>
            </w:r>
            <w:r>
              <w:rPr>
                <w:sz w:val="20"/>
                <w:szCs w:val="20"/>
                <w:shd w:val="clear" w:color="auto" w:fill="FFFFFF"/>
              </w:rPr>
              <w:t>-</w:t>
            </w:r>
            <w:r w:rsidRPr="00EF6E55">
              <w:rPr>
                <w:sz w:val="20"/>
                <w:szCs w:val="20"/>
                <w:shd w:val="clear" w:color="auto" w:fill="FFFFFF"/>
              </w:rPr>
              <w:t>risk potentially hazardous food as RTE food to the consumer in a time period that does not adversely affect the microbiological safety of the food.</w:t>
            </w:r>
          </w:p>
        </w:tc>
        <w:tc>
          <w:tcPr>
            <w:tcW w:w="3544" w:type="dxa"/>
          </w:tcPr>
          <w:p w14:paraId="51073313" w14:textId="77777777" w:rsidR="00932C0C" w:rsidRPr="00EF6E55" w:rsidRDefault="00932C0C" w:rsidP="002C2A21">
            <w:pPr>
              <w:rPr>
                <w:sz w:val="20"/>
                <w:szCs w:val="20"/>
                <w:shd w:val="clear" w:color="auto" w:fill="FFFFFF"/>
              </w:rPr>
            </w:pPr>
            <w:r w:rsidRPr="00EF6E55">
              <w:rPr>
                <w:sz w:val="20"/>
                <w:szCs w:val="20"/>
                <w:shd w:val="clear" w:color="auto" w:fill="FFFFFF"/>
              </w:rPr>
              <w:t>Food service: commercial catering (P1)</w:t>
            </w:r>
          </w:p>
          <w:p w14:paraId="1C3F50AC" w14:textId="77777777" w:rsidR="00932C0C" w:rsidRPr="00EF6E55" w:rsidRDefault="00932C0C" w:rsidP="002C2A21">
            <w:pPr>
              <w:rPr>
                <w:sz w:val="20"/>
                <w:szCs w:val="20"/>
                <w:shd w:val="clear" w:color="auto" w:fill="FFFFFF"/>
              </w:rPr>
            </w:pPr>
            <w:r w:rsidRPr="00EF6E55">
              <w:rPr>
                <w:sz w:val="20"/>
                <w:szCs w:val="20"/>
                <w:shd w:val="clear" w:color="auto" w:fill="FFFFFF"/>
              </w:rPr>
              <w:t>Food service: eating establishments - RTE prepared in advance (P1)</w:t>
            </w:r>
          </w:p>
          <w:p w14:paraId="4406981F" w14:textId="77777777" w:rsidR="00932C0C" w:rsidRPr="00EF6E55" w:rsidRDefault="00932C0C" w:rsidP="002C2A21">
            <w:pPr>
              <w:rPr>
                <w:sz w:val="20"/>
                <w:szCs w:val="20"/>
                <w:shd w:val="clear" w:color="auto" w:fill="FFFFFF"/>
              </w:rPr>
            </w:pPr>
            <w:r w:rsidRPr="00EF6E55">
              <w:rPr>
                <w:sz w:val="20"/>
                <w:szCs w:val="20"/>
                <w:shd w:val="clear" w:color="auto" w:fill="FFFFFF"/>
              </w:rPr>
              <w:t>Food service: RTE food is prepared express order – some high-risk food components are raw (P1)</w:t>
            </w:r>
          </w:p>
          <w:p w14:paraId="4C06BB99" w14:textId="77777777" w:rsidR="00932C0C" w:rsidRPr="00EF6E55" w:rsidRDefault="00932C0C" w:rsidP="002C2A21">
            <w:pPr>
              <w:rPr>
                <w:sz w:val="20"/>
                <w:szCs w:val="20"/>
                <w:shd w:val="clear" w:color="auto" w:fill="FFFFFF"/>
              </w:rPr>
            </w:pPr>
            <w:r w:rsidRPr="00EF6E55">
              <w:rPr>
                <w:sz w:val="20"/>
                <w:szCs w:val="20"/>
                <w:shd w:val="clear" w:color="auto" w:fill="FFFFFF"/>
              </w:rPr>
              <w:t>Food service: RTE food is prepared express order – all high-risk food components are cooked (P2)</w:t>
            </w:r>
          </w:p>
          <w:p w14:paraId="3957AA5C" w14:textId="77777777" w:rsidR="00932C0C" w:rsidRDefault="00932C0C" w:rsidP="002C2A21">
            <w:pPr>
              <w:rPr>
                <w:rFonts w:cs="Arial"/>
                <w:sz w:val="20"/>
                <w:szCs w:val="20"/>
              </w:rPr>
            </w:pPr>
            <w:r w:rsidRPr="00EF6E55">
              <w:rPr>
                <w:rFonts w:cs="Arial"/>
                <w:sz w:val="20"/>
                <w:szCs w:val="20"/>
              </w:rPr>
              <w:t>Retailer and manufacturer: bakery products (P1)</w:t>
            </w:r>
          </w:p>
          <w:p w14:paraId="732F53BA" w14:textId="77777777" w:rsidR="00932C0C" w:rsidRPr="00EF6E55" w:rsidRDefault="00932C0C" w:rsidP="002C2A21">
            <w:pPr>
              <w:rPr>
                <w:sz w:val="20"/>
                <w:szCs w:val="20"/>
                <w:shd w:val="clear" w:color="auto" w:fill="FFFFFF"/>
              </w:rPr>
            </w:pPr>
          </w:p>
        </w:tc>
      </w:tr>
      <w:tr w:rsidR="00932C0C" w:rsidRPr="00EF6E55" w14:paraId="3BF4503F" w14:textId="77777777" w:rsidTr="00FC252D">
        <w:trPr>
          <w:trHeight w:val="2957"/>
        </w:trPr>
        <w:tc>
          <w:tcPr>
            <w:tcW w:w="3539" w:type="dxa"/>
          </w:tcPr>
          <w:p w14:paraId="536DBB10" w14:textId="77777777" w:rsidR="00932C0C" w:rsidRPr="00EF6E55" w:rsidRDefault="00932C0C" w:rsidP="002C2A21">
            <w:pPr>
              <w:rPr>
                <w:b/>
                <w:sz w:val="20"/>
                <w:szCs w:val="20"/>
                <w:u w:val="single"/>
                <w:shd w:val="clear" w:color="auto" w:fill="FFFFFF"/>
              </w:rPr>
            </w:pPr>
            <w:r w:rsidRPr="00EF6E55">
              <w:rPr>
                <w:b/>
                <w:sz w:val="20"/>
                <w:szCs w:val="20"/>
                <w:u w:val="single"/>
                <w:shd w:val="clear" w:color="auto" w:fill="FFFFFF"/>
              </w:rPr>
              <w:t xml:space="preserve">Category 2 </w:t>
            </w:r>
          </w:p>
          <w:p w14:paraId="33AE3E8A" w14:textId="77777777" w:rsidR="00932C0C" w:rsidRPr="00EF6E55" w:rsidRDefault="00932C0C" w:rsidP="002C2A21">
            <w:pPr>
              <w:rPr>
                <w:sz w:val="20"/>
                <w:szCs w:val="20"/>
                <w:shd w:val="clear" w:color="auto" w:fill="FFFFFF"/>
              </w:rPr>
            </w:pPr>
            <w:r w:rsidRPr="00EF6E55">
              <w:rPr>
                <w:sz w:val="20"/>
                <w:szCs w:val="20"/>
                <w:shd w:val="clear" w:color="auto" w:fill="FFFFFF"/>
              </w:rPr>
              <w:t>Those handling activities that</w:t>
            </w:r>
          </w:p>
          <w:p w14:paraId="3EA1F2EC" w14:textId="77777777" w:rsidR="00932C0C" w:rsidRPr="00EF6E55" w:rsidRDefault="00932C0C" w:rsidP="002C2A21">
            <w:pPr>
              <w:pStyle w:val="ListParagraph"/>
              <w:numPr>
                <w:ilvl w:val="0"/>
                <w:numId w:val="23"/>
              </w:numPr>
              <w:ind w:left="316" w:hanging="284"/>
              <w:rPr>
                <w:sz w:val="20"/>
                <w:szCs w:val="20"/>
                <w:shd w:val="clear" w:color="auto" w:fill="FFFFFF"/>
              </w:rPr>
            </w:pPr>
            <w:r w:rsidRPr="00EF6E55">
              <w:rPr>
                <w:sz w:val="20"/>
                <w:szCs w:val="20"/>
                <w:shd w:val="clear" w:color="auto" w:fill="FFFFFF"/>
              </w:rPr>
              <w:t>require fewer controls critical to the safety of food prepared by the business compared to Category 1 handling activities</w:t>
            </w:r>
            <w:r>
              <w:rPr>
                <w:sz w:val="20"/>
                <w:szCs w:val="20"/>
                <w:shd w:val="clear" w:color="auto" w:fill="FFFFFF"/>
              </w:rPr>
              <w:t>,</w:t>
            </w:r>
            <w:r w:rsidRPr="00EF6E55">
              <w:rPr>
                <w:sz w:val="20"/>
                <w:szCs w:val="20"/>
                <w:shd w:val="clear" w:color="auto" w:fill="FFFFFF"/>
              </w:rPr>
              <w:t xml:space="preserve"> and </w:t>
            </w:r>
          </w:p>
          <w:p w14:paraId="6FDE07D9" w14:textId="5343A9CF" w:rsidR="00932C0C" w:rsidRPr="00FC252D" w:rsidRDefault="00932C0C" w:rsidP="002C2A21">
            <w:pPr>
              <w:pStyle w:val="ListParagraph"/>
              <w:numPr>
                <w:ilvl w:val="0"/>
                <w:numId w:val="23"/>
              </w:numPr>
              <w:ind w:left="316" w:hanging="284"/>
              <w:rPr>
                <w:sz w:val="20"/>
                <w:szCs w:val="20"/>
                <w:shd w:val="clear" w:color="auto" w:fill="FFFFFF"/>
              </w:rPr>
            </w:pPr>
            <w:r w:rsidRPr="00EF6E55">
              <w:rPr>
                <w:sz w:val="20"/>
                <w:szCs w:val="20"/>
                <w:shd w:val="clear" w:color="auto" w:fill="FFFFFF"/>
              </w:rPr>
              <w:t>are most likely to be undertaken by business sectors associated with a relatively lower proportion of Australian foodborne illness outbreaks compared to Category 1.</w:t>
            </w:r>
          </w:p>
        </w:tc>
        <w:tc>
          <w:tcPr>
            <w:tcW w:w="2977" w:type="dxa"/>
          </w:tcPr>
          <w:p w14:paraId="33DFF044" w14:textId="77777777" w:rsidR="00932C0C" w:rsidRPr="00EF6E55" w:rsidRDefault="00932C0C" w:rsidP="002C2A21">
            <w:pPr>
              <w:rPr>
                <w:rFonts w:cs="Arial"/>
                <w:iCs/>
                <w:sz w:val="20"/>
                <w:szCs w:val="20"/>
                <w:lang w:val="en-AU"/>
              </w:rPr>
            </w:pPr>
            <w:r w:rsidRPr="00EF6E55">
              <w:rPr>
                <w:rFonts w:cs="Arial"/>
                <w:b/>
                <w:iCs/>
                <w:sz w:val="20"/>
                <w:szCs w:val="20"/>
                <w:lang w:val="en-AU"/>
              </w:rPr>
              <w:t>Handling activity 3:</w:t>
            </w:r>
            <w:r>
              <w:rPr>
                <w:rFonts w:cs="Arial"/>
                <w:iCs/>
                <w:sz w:val="20"/>
                <w:szCs w:val="20"/>
                <w:lang w:val="en-AU"/>
              </w:rPr>
              <w:t xml:space="preserve"> serve unpackaged high-</w:t>
            </w:r>
            <w:r w:rsidRPr="00EF6E55">
              <w:rPr>
                <w:rFonts w:cs="Arial"/>
                <w:iCs/>
                <w:sz w:val="20"/>
                <w:szCs w:val="20"/>
                <w:lang w:val="en-AU"/>
              </w:rPr>
              <w:t>risk potentially hazardous food as RTE food for retail.</w:t>
            </w:r>
          </w:p>
          <w:p w14:paraId="311131DA" w14:textId="77777777" w:rsidR="00932C0C" w:rsidRPr="00EF6E55" w:rsidRDefault="00932C0C" w:rsidP="002C2A21">
            <w:pPr>
              <w:rPr>
                <w:sz w:val="20"/>
                <w:szCs w:val="20"/>
                <w:shd w:val="clear" w:color="auto" w:fill="FFFFFF"/>
              </w:rPr>
            </w:pPr>
          </w:p>
        </w:tc>
        <w:tc>
          <w:tcPr>
            <w:tcW w:w="3544" w:type="dxa"/>
          </w:tcPr>
          <w:p w14:paraId="7BB2472B" w14:textId="77777777" w:rsidR="00932C0C" w:rsidRPr="00EF6E55" w:rsidRDefault="00932C0C" w:rsidP="002C2A21">
            <w:pPr>
              <w:rPr>
                <w:rFonts w:cs="Arial"/>
                <w:iCs/>
                <w:sz w:val="20"/>
                <w:szCs w:val="20"/>
                <w:lang w:val="en-AU"/>
              </w:rPr>
            </w:pPr>
            <w:r w:rsidRPr="00EF6E55">
              <w:rPr>
                <w:rFonts w:cs="Arial"/>
                <w:iCs/>
                <w:sz w:val="20"/>
                <w:szCs w:val="20"/>
                <w:lang w:val="en-AU"/>
              </w:rPr>
              <w:t>Retailer: bakery products (P2)</w:t>
            </w:r>
          </w:p>
          <w:p w14:paraId="016127B3" w14:textId="77777777" w:rsidR="00932C0C" w:rsidRPr="00EF6E55" w:rsidRDefault="00932C0C" w:rsidP="002C2A21">
            <w:pPr>
              <w:rPr>
                <w:rFonts w:cs="Arial"/>
                <w:iCs/>
                <w:sz w:val="20"/>
                <w:szCs w:val="20"/>
                <w:lang w:val="en-AU"/>
              </w:rPr>
            </w:pPr>
            <w:r w:rsidRPr="00EF6E55">
              <w:rPr>
                <w:rFonts w:cs="Arial"/>
                <w:iCs/>
                <w:sz w:val="20"/>
                <w:szCs w:val="20"/>
                <w:lang w:val="en-AU"/>
              </w:rPr>
              <w:t>Retailer: processed delicatessen products (P2)</w:t>
            </w:r>
          </w:p>
          <w:p w14:paraId="073CA0DF" w14:textId="77777777" w:rsidR="00932C0C" w:rsidRPr="00EF6E55" w:rsidRDefault="00932C0C" w:rsidP="002C2A21">
            <w:pPr>
              <w:rPr>
                <w:rFonts w:cs="Arial"/>
                <w:iCs/>
                <w:sz w:val="20"/>
                <w:szCs w:val="20"/>
                <w:lang w:val="en-AU"/>
              </w:rPr>
            </w:pPr>
            <w:r w:rsidRPr="00EF6E55">
              <w:rPr>
                <w:rFonts w:cs="Arial"/>
                <w:iCs/>
                <w:sz w:val="20"/>
                <w:szCs w:val="20"/>
                <w:lang w:val="en-AU"/>
              </w:rPr>
              <w:t>Retailer: processed seafood products (P2)</w:t>
            </w:r>
          </w:p>
        </w:tc>
      </w:tr>
      <w:tr w:rsidR="00932C0C" w:rsidRPr="00EF6E55" w14:paraId="56695099" w14:textId="77777777" w:rsidTr="00FC252D">
        <w:trPr>
          <w:trHeight w:val="2828"/>
        </w:trPr>
        <w:tc>
          <w:tcPr>
            <w:tcW w:w="3539" w:type="dxa"/>
          </w:tcPr>
          <w:p w14:paraId="26B75FEF" w14:textId="77777777" w:rsidR="00932C0C" w:rsidRPr="00EF6E55" w:rsidRDefault="00932C0C" w:rsidP="002C2A21">
            <w:pPr>
              <w:rPr>
                <w:b/>
                <w:sz w:val="20"/>
                <w:szCs w:val="20"/>
                <w:u w:val="single"/>
                <w:shd w:val="clear" w:color="auto" w:fill="FFFFFF"/>
              </w:rPr>
            </w:pPr>
            <w:r w:rsidRPr="00EF6E55">
              <w:rPr>
                <w:b/>
                <w:sz w:val="20"/>
                <w:szCs w:val="20"/>
                <w:u w:val="single"/>
                <w:shd w:val="clear" w:color="auto" w:fill="FFFFFF"/>
              </w:rPr>
              <w:t>Category 3</w:t>
            </w:r>
          </w:p>
          <w:p w14:paraId="63E82A4A" w14:textId="77777777" w:rsidR="00932C0C" w:rsidRPr="00EF6E55" w:rsidRDefault="00932C0C" w:rsidP="002C2A21">
            <w:pPr>
              <w:rPr>
                <w:sz w:val="20"/>
                <w:szCs w:val="20"/>
                <w:shd w:val="clear" w:color="auto" w:fill="FFFFFF"/>
              </w:rPr>
            </w:pPr>
            <w:r w:rsidRPr="00EF6E55">
              <w:rPr>
                <w:sz w:val="20"/>
                <w:szCs w:val="20"/>
                <w:shd w:val="clear" w:color="auto" w:fill="FFFFFF"/>
              </w:rPr>
              <w:t>Those handling activities that</w:t>
            </w:r>
          </w:p>
          <w:p w14:paraId="5CAB4A3F" w14:textId="77777777" w:rsidR="00932C0C" w:rsidRPr="00EF6E55" w:rsidRDefault="00932C0C" w:rsidP="002C2A21">
            <w:pPr>
              <w:pStyle w:val="ListParagraph"/>
              <w:numPr>
                <w:ilvl w:val="0"/>
                <w:numId w:val="23"/>
              </w:numPr>
              <w:ind w:left="316" w:hanging="284"/>
              <w:rPr>
                <w:sz w:val="20"/>
                <w:szCs w:val="20"/>
                <w:shd w:val="clear" w:color="auto" w:fill="FFFFFF"/>
              </w:rPr>
            </w:pPr>
            <w:r w:rsidRPr="00EF6E55">
              <w:rPr>
                <w:sz w:val="20"/>
                <w:szCs w:val="20"/>
                <w:shd w:val="clear" w:color="auto" w:fill="FFFFFF"/>
              </w:rPr>
              <w:t>require fewer controls critical to the safety of food prepared by the business compared to Category 2 handling activities</w:t>
            </w:r>
            <w:r>
              <w:rPr>
                <w:sz w:val="20"/>
                <w:szCs w:val="20"/>
                <w:shd w:val="clear" w:color="auto" w:fill="FFFFFF"/>
              </w:rPr>
              <w:t>,</w:t>
            </w:r>
            <w:r w:rsidRPr="00EF6E55">
              <w:rPr>
                <w:sz w:val="20"/>
                <w:szCs w:val="20"/>
                <w:shd w:val="clear" w:color="auto" w:fill="FFFFFF"/>
              </w:rPr>
              <w:t xml:space="preserve"> and </w:t>
            </w:r>
          </w:p>
          <w:p w14:paraId="324C4C46" w14:textId="3CBA1EE4" w:rsidR="00932C0C" w:rsidRPr="00EF6E55" w:rsidRDefault="00932C0C" w:rsidP="002C2A21">
            <w:pPr>
              <w:pStyle w:val="ListParagraph"/>
              <w:numPr>
                <w:ilvl w:val="0"/>
                <w:numId w:val="23"/>
              </w:numPr>
              <w:ind w:left="316" w:hanging="284"/>
              <w:rPr>
                <w:sz w:val="20"/>
                <w:szCs w:val="20"/>
                <w:shd w:val="clear" w:color="auto" w:fill="FFFFFF"/>
              </w:rPr>
            </w:pPr>
            <w:r w:rsidRPr="00EF6E55">
              <w:rPr>
                <w:sz w:val="20"/>
                <w:szCs w:val="20"/>
                <w:shd w:val="clear" w:color="auto" w:fill="FFFFFF"/>
              </w:rPr>
              <w:t xml:space="preserve">are most likely to be undertaken by business sectors for which there is little evidence of associated </w:t>
            </w:r>
            <w:r w:rsidR="00FC252D">
              <w:rPr>
                <w:sz w:val="20"/>
                <w:szCs w:val="20"/>
                <w:shd w:val="clear" w:color="auto" w:fill="FFFFFF"/>
              </w:rPr>
              <w:t>foodborne illness in Australia.</w:t>
            </w:r>
          </w:p>
        </w:tc>
        <w:tc>
          <w:tcPr>
            <w:tcW w:w="2977" w:type="dxa"/>
          </w:tcPr>
          <w:p w14:paraId="3416D6CC" w14:textId="77777777" w:rsidR="00932C0C" w:rsidRPr="00EF6E55" w:rsidRDefault="00932C0C" w:rsidP="002C2A21">
            <w:pPr>
              <w:rPr>
                <w:rFonts w:cs="Arial"/>
                <w:iCs/>
                <w:sz w:val="20"/>
                <w:szCs w:val="20"/>
                <w:lang w:val="en-AU"/>
              </w:rPr>
            </w:pPr>
            <w:r w:rsidRPr="00EF6E55">
              <w:rPr>
                <w:rFonts w:cs="Arial"/>
                <w:b/>
                <w:iCs/>
                <w:sz w:val="20"/>
                <w:szCs w:val="20"/>
                <w:lang w:val="en-AU"/>
              </w:rPr>
              <w:t>Handling activity 4:</w:t>
            </w:r>
            <w:r>
              <w:rPr>
                <w:rFonts w:cs="Arial"/>
                <w:iCs/>
                <w:sz w:val="20"/>
                <w:szCs w:val="20"/>
                <w:lang w:val="en-AU"/>
              </w:rPr>
              <w:t xml:space="preserve"> serve packaged high-</w:t>
            </w:r>
            <w:r w:rsidRPr="00EF6E55">
              <w:rPr>
                <w:rFonts w:cs="Arial"/>
                <w:iCs/>
                <w:sz w:val="20"/>
                <w:szCs w:val="20"/>
                <w:lang w:val="en-AU"/>
              </w:rPr>
              <w:t>risk potentially hazardous food as RTE food</w:t>
            </w:r>
            <w:r>
              <w:rPr>
                <w:rFonts w:cs="Arial"/>
                <w:iCs/>
                <w:sz w:val="20"/>
                <w:szCs w:val="20"/>
                <w:lang w:val="en-AU"/>
              </w:rPr>
              <w:t xml:space="preserve"> for retail</w:t>
            </w:r>
            <w:r w:rsidRPr="00EF6E55">
              <w:rPr>
                <w:rFonts w:cs="Arial"/>
                <w:iCs/>
                <w:sz w:val="20"/>
                <w:szCs w:val="20"/>
                <w:lang w:val="en-AU"/>
              </w:rPr>
              <w:t xml:space="preserve">. The food is packaged prior to receipt by the food business and sold to the consumer </w:t>
            </w:r>
            <w:r>
              <w:rPr>
                <w:rFonts w:cs="Arial"/>
                <w:iCs/>
                <w:sz w:val="20"/>
                <w:szCs w:val="20"/>
                <w:lang w:val="en-AU"/>
              </w:rPr>
              <w:t xml:space="preserve">in its original </w:t>
            </w:r>
            <w:r w:rsidRPr="00EF6E55">
              <w:rPr>
                <w:rFonts w:cs="Arial"/>
                <w:iCs/>
                <w:sz w:val="20"/>
                <w:szCs w:val="20"/>
                <w:lang w:val="en-AU"/>
              </w:rPr>
              <w:t>packag</w:t>
            </w:r>
            <w:r>
              <w:rPr>
                <w:rFonts w:cs="Arial"/>
                <w:iCs/>
                <w:sz w:val="20"/>
                <w:szCs w:val="20"/>
                <w:lang w:val="en-AU"/>
              </w:rPr>
              <w:t>ing</w:t>
            </w:r>
            <w:r w:rsidRPr="00EF6E55">
              <w:rPr>
                <w:rFonts w:cs="Arial"/>
                <w:iCs/>
                <w:sz w:val="20"/>
                <w:szCs w:val="20"/>
                <w:lang w:val="en-AU"/>
              </w:rPr>
              <w:t>.</w:t>
            </w:r>
          </w:p>
        </w:tc>
        <w:tc>
          <w:tcPr>
            <w:tcW w:w="3544" w:type="dxa"/>
          </w:tcPr>
          <w:p w14:paraId="6B3B20E1" w14:textId="77777777" w:rsidR="00932C0C" w:rsidRPr="00EF6E55" w:rsidRDefault="00932C0C" w:rsidP="002C2A21">
            <w:pPr>
              <w:rPr>
                <w:rFonts w:cs="Arial"/>
                <w:iCs/>
                <w:sz w:val="20"/>
                <w:szCs w:val="20"/>
                <w:lang w:val="en-AU"/>
              </w:rPr>
            </w:pPr>
            <w:r>
              <w:rPr>
                <w:rFonts w:cs="Arial"/>
                <w:sz w:val="20"/>
                <w:szCs w:val="20"/>
                <w:lang w:val="en-AU"/>
              </w:rPr>
              <w:t>Retailer: High-</w:t>
            </w:r>
            <w:r w:rsidRPr="00EF6E55">
              <w:rPr>
                <w:rFonts w:cs="Arial"/>
                <w:sz w:val="20"/>
                <w:szCs w:val="20"/>
                <w:lang w:val="en-AU"/>
              </w:rPr>
              <w:t>risk perishable pre-packaged food (P2)</w:t>
            </w:r>
          </w:p>
        </w:tc>
      </w:tr>
    </w:tbl>
    <w:p w14:paraId="5173493B" w14:textId="5359EB9A" w:rsidR="00247057" w:rsidRDefault="00932C0C" w:rsidP="00247057">
      <w:pPr>
        <w:rPr>
          <w:shd w:val="clear" w:color="auto" w:fill="FFFFFF"/>
        </w:rPr>
      </w:pPr>
      <w:r w:rsidRPr="00EE6137">
        <w:rPr>
          <w:sz w:val="16"/>
          <w:szCs w:val="20"/>
          <w:shd w:val="clear" w:color="auto" w:fill="FFFFFF"/>
        </w:rPr>
        <w:t xml:space="preserve"> RTE = ready to eat; P1 and P2 = Priority 1 and Priority 2 businesses, respectiv</w:t>
      </w:r>
      <w:r w:rsidR="00C439D2">
        <w:rPr>
          <w:sz w:val="16"/>
          <w:szCs w:val="20"/>
          <w:shd w:val="clear" w:color="auto" w:fill="FFFFFF"/>
        </w:rPr>
        <w:t>ely, as characterised under the Na</w:t>
      </w:r>
      <w:r w:rsidRPr="00EE6137">
        <w:rPr>
          <w:sz w:val="16"/>
          <w:szCs w:val="20"/>
          <w:shd w:val="clear" w:color="auto" w:fill="FFFFFF"/>
        </w:rPr>
        <w:t>tional Risk Profiling Framework by Ross et al 2009.</w:t>
      </w:r>
      <w:r w:rsidR="00247057" w:rsidRPr="00247057">
        <w:rPr>
          <w:shd w:val="clear" w:color="auto" w:fill="FFFFFF"/>
        </w:rPr>
        <w:t xml:space="preserve"> </w:t>
      </w:r>
    </w:p>
    <w:p w14:paraId="0F54DCAF" w14:textId="77777777" w:rsidR="00932C0C" w:rsidRDefault="00932C0C" w:rsidP="00932C0C">
      <w:pPr>
        <w:pStyle w:val="Heading3"/>
      </w:pPr>
      <w:bookmarkStart w:id="33" w:name="_Toc94172652"/>
      <w:r>
        <w:t>Conclusion</w:t>
      </w:r>
      <w:bookmarkEnd w:id="33"/>
    </w:p>
    <w:p w14:paraId="188B43F5" w14:textId="220A8F2B" w:rsidR="00932C0C" w:rsidRDefault="00932C0C" w:rsidP="00B903E0">
      <w:pPr>
        <w:rPr>
          <w:rFonts w:cs="Arial"/>
          <w:lang w:bidi="ar-SA"/>
        </w:rPr>
      </w:pPr>
      <w:r>
        <w:rPr>
          <w:rFonts w:cs="Arial"/>
          <w:lang w:bidi="ar-SA"/>
        </w:rPr>
        <w:t>FSANZ’s</w:t>
      </w:r>
      <w:r w:rsidRPr="00C77D99">
        <w:rPr>
          <w:rFonts w:cs="Arial"/>
          <w:lang w:bidi="ar-SA"/>
        </w:rPr>
        <w:t xml:space="preserve"> risk profil</w:t>
      </w:r>
      <w:r>
        <w:rPr>
          <w:rFonts w:cs="Arial"/>
          <w:lang w:bidi="ar-SA"/>
        </w:rPr>
        <w:t>ing confirmed the food service and related retail sectors in Australia still present significant public health risks. Our categorisation of business types and activities indicates different businesses within these sectors carry different risks and can be grouped according to those risks. Our findings</w:t>
      </w:r>
      <w:r w:rsidRPr="00C77D99">
        <w:rPr>
          <w:rFonts w:cs="Arial"/>
          <w:lang w:bidi="ar-SA"/>
        </w:rPr>
        <w:t xml:space="preserve"> enable interventions to </w:t>
      </w:r>
      <w:r>
        <w:rPr>
          <w:rFonts w:cs="Arial"/>
          <w:lang w:bidi="ar-SA"/>
        </w:rPr>
        <w:t xml:space="preserve">be targeted to </w:t>
      </w:r>
      <w:r w:rsidRPr="00C77D99">
        <w:rPr>
          <w:rFonts w:cs="Arial"/>
          <w:lang w:bidi="ar-SA"/>
        </w:rPr>
        <w:t xml:space="preserve">the </w:t>
      </w:r>
      <w:r>
        <w:rPr>
          <w:rFonts w:cs="Arial"/>
          <w:lang w:bidi="ar-SA"/>
        </w:rPr>
        <w:t xml:space="preserve">most </w:t>
      </w:r>
      <w:r w:rsidRPr="00C77D99">
        <w:rPr>
          <w:rFonts w:cs="Arial"/>
          <w:lang w:bidi="ar-SA"/>
        </w:rPr>
        <w:t>common causal factors of foodborne</w:t>
      </w:r>
      <w:r>
        <w:rPr>
          <w:rFonts w:cs="Arial"/>
          <w:lang w:bidi="ar-SA"/>
        </w:rPr>
        <w:t xml:space="preserve"> illness</w:t>
      </w:r>
      <w:r w:rsidRPr="00C77D99">
        <w:rPr>
          <w:rFonts w:cs="Arial"/>
          <w:lang w:bidi="ar-SA"/>
        </w:rPr>
        <w:t xml:space="preserve"> outbreaks</w:t>
      </w:r>
      <w:r>
        <w:rPr>
          <w:rFonts w:cs="Arial"/>
          <w:lang w:bidi="ar-SA"/>
        </w:rPr>
        <w:t xml:space="preserve">, and in a </w:t>
      </w:r>
      <w:r>
        <w:rPr>
          <w:rFonts w:cs="Arial"/>
          <w:lang w:bidi="ar-SA"/>
        </w:rPr>
        <w:lastRenderedPageBreak/>
        <w:t>risk-proportionate manner</w:t>
      </w:r>
      <w:r w:rsidRPr="00C77D99">
        <w:rPr>
          <w:rFonts w:cs="Arial"/>
          <w:lang w:bidi="ar-SA"/>
        </w:rPr>
        <w:t xml:space="preserve">. </w:t>
      </w:r>
      <w:r>
        <w:rPr>
          <w:rFonts w:cs="Arial"/>
          <w:lang w:bidi="ar-SA"/>
        </w:rPr>
        <w:t>Such an</w:t>
      </w:r>
      <w:r w:rsidRPr="00C77D99">
        <w:rPr>
          <w:rFonts w:cs="Arial"/>
          <w:lang w:bidi="ar-SA"/>
        </w:rPr>
        <w:t xml:space="preserve"> approach to managing risks ensures </w:t>
      </w:r>
      <w:r>
        <w:rPr>
          <w:rFonts w:cs="Arial"/>
          <w:lang w:bidi="ar-SA"/>
        </w:rPr>
        <w:t>additional measures are</w:t>
      </w:r>
      <w:r w:rsidRPr="00C77D99">
        <w:rPr>
          <w:rFonts w:cs="Arial"/>
          <w:lang w:bidi="ar-SA"/>
        </w:rPr>
        <w:t xml:space="preserve"> </w:t>
      </w:r>
      <w:r>
        <w:rPr>
          <w:rFonts w:cs="Arial"/>
          <w:lang w:bidi="ar-SA"/>
        </w:rPr>
        <w:t>appropriate</w:t>
      </w:r>
      <w:r w:rsidRPr="00C77D99">
        <w:rPr>
          <w:rFonts w:cs="Arial"/>
          <w:lang w:bidi="ar-SA"/>
        </w:rPr>
        <w:t xml:space="preserve"> </w:t>
      </w:r>
      <w:r>
        <w:rPr>
          <w:rFonts w:cs="Arial"/>
          <w:lang w:bidi="ar-SA"/>
        </w:rPr>
        <w:t>for</w:t>
      </w:r>
      <w:r w:rsidRPr="00C77D99">
        <w:rPr>
          <w:rFonts w:cs="Arial"/>
          <w:lang w:bidi="ar-SA"/>
        </w:rPr>
        <w:t xml:space="preserve"> </w:t>
      </w:r>
      <w:r>
        <w:rPr>
          <w:rFonts w:cs="Arial"/>
          <w:lang w:bidi="ar-SA"/>
        </w:rPr>
        <w:t xml:space="preserve">the </w:t>
      </w:r>
      <w:r w:rsidRPr="00C77D99">
        <w:rPr>
          <w:rFonts w:cs="Arial"/>
          <w:lang w:bidi="ar-SA"/>
        </w:rPr>
        <w:t xml:space="preserve">potential risk posed by </w:t>
      </w:r>
      <w:r>
        <w:rPr>
          <w:rFonts w:cs="Arial"/>
          <w:lang w:bidi="ar-SA"/>
        </w:rPr>
        <w:t>each</w:t>
      </w:r>
      <w:r w:rsidRPr="00C77D99">
        <w:rPr>
          <w:rFonts w:cs="Arial"/>
          <w:lang w:bidi="ar-SA"/>
        </w:rPr>
        <w:t xml:space="preserve"> business type. </w:t>
      </w:r>
    </w:p>
    <w:p w14:paraId="5BCD5BCF" w14:textId="77777777" w:rsidR="00932C0C" w:rsidRPr="00932C0C" w:rsidRDefault="00932C0C" w:rsidP="00B903E0">
      <w:pPr>
        <w:rPr>
          <w:rFonts w:cs="Arial"/>
          <w:lang w:bidi="ar-SA"/>
        </w:rPr>
      </w:pPr>
    </w:p>
    <w:p w14:paraId="24B9C445" w14:textId="77777777" w:rsidR="009B684E" w:rsidRDefault="009B684E" w:rsidP="009B684E">
      <w:pPr>
        <w:pStyle w:val="Heading1"/>
      </w:pPr>
      <w:bookmarkStart w:id="34" w:name="_Toc94172653"/>
      <w:r>
        <w:t xml:space="preserve">Risk </w:t>
      </w:r>
      <w:r w:rsidRPr="00465397">
        <w:t>management</w:t>
      </w:r>
      <w:bookmarkEnd w:id="34"/>
    </w:p>
    <w:p w14:paraId="05AB50C1" w14:textId="58DDE8C3" w:rsidR="009B684E" w:rsidRPr="002B4D4D" w:rsidRDefault="009B684E" w:rsidP="009B684E">
      <w:r w:rsidRPr="00A646B7">
        <w:rPr>
          <w:lang w:bidi="ar-SA"/>
        </w:rPr>
        <w:t xml:space="preserve">FSANZ’s general principles and process for our risk management decisions </w:t>
      </w:r>
      <w:r>
        <w:rPr>
          <w:lang w:bidi="ar-SA"/>
        </w:rPr>
        <w:t xml:space="preserve">in P1053 </w:t>
      </w:r>
      <w:r w:rsidRPr="00A646B7">
        <w:rPr>
          <w:lang w:bidi="ar-SA"/>
        </w:rPr>
        <w:t xml:space="preserve">are outlined below. </w:t>
      </w:r>
    </w:p>
    <w:p w14:paraId="1845ACBF" w14:textId="77777777" w:rsidR="009B684E" w:rsidRDefault="009B684E" w:rsidP="009B684E">
      <w:pPr>
        <w:pStyle w:val="Heading2"/>
        <w:ind w:left="567"/>
      </w:pPr>
      <w:bookmarkStart w:id="35" w:name="_Toc94172654"/>
      <w:r>
        <w:t>Principles</w:t>
      </w:r>
      <w:bookmarkEnd w:id="35"/>
    </w:p>
    <w:p w14:paraId="6D632D96" w14:textId="0DDC1081" w:rsidR="009B684E" w:rsidRPr="000206BD" w:rsidRDefault="00247057" w:rsidP="009B684E">
      <w:pPr>
        <w:spacing w:before="120" w:after="120"/>
        <w:rPr>
          <w:rFonts w:cs="Arial"/>
          <w:szCs w:val="22"/>
        </w:rPr>
      </w:pPr>
      <w:r>
        <w:rPr>
          <w:rFonts w:cs="Arial"/>
          <w:szCs w:val="22"/>
        </w:rPr>
        <w:t xml:space="preserve">The </w:t>
      </w:r>
      <w:r w:rsidR="009B684E">
        <w:rPr>
          <w:rFonts w:cs="Arial"/>
          <w:szCs w:val="22"/>
        </w:rPr>
        <w:t xml:space="preserve">FSANZ </w:t>
      </w:r>
      <w:r>
        <w:rPr>
          <w:rFonts w:cs="Arial"/>
          <w:szCs w:val="22"/>
        </w:rPr>
        <w:t xml:space="preserve">assessment </w:t>
      </w:r>
      <w:r w:rsidR="009B684E">
        <w:rPr>
          <w:rFonts w:cs="Arial"/>
          <w:szCs w:val="22"/>
        </w:rPr>
        <w:t xml:space="preserve">considered the expected impacts (positive, negative, direct, indirect) of all options. </w:t>
      </w:r>
      <w:r>
        <w:rPr>
          <w:rFonts w:cs="Arial"/>
          <w:szCs w:val="22"/>
        </w:rPr>
        <w:t>The</w:t>
      </w:r>
      <w:r w:rsidRPr="00617DE4">
        <w:rPr>
          <w:rFonts w:cs="Arial"/>
          <w:szCs w:val="22"/>
        </w:rPr>
        <w:t xml:space="preserve"> </w:t>
      </w:r>
      <w:r w:rsidR="009B684E" w:rsidRPr="00617DE4">
        <w:rPr>
          <w:rFonts w:cs="Arial"/>
          <w:szCs w:val="22"/>
        </w:rPr>
        <w:t xml:space="preserve">full assessment of options is in the </w:t>
      </w:r>
      <w:r w:rsidR="009B684E" w:rsidRPr="00FC252D">
        <w:rPr>
          <w:rFonts w:cs="Arial"/>
          <w:szCs w:val="22"/>
        </w:rPr>
        <w:t>CRIS</w:t>
      </w:r>
      <w:r w:rsidR="00126337" w:rsidRPr="00FC252D">
        <w:rPr>
          <w:rFonts w:cs="Arial"/>
          <w:szCs w:val="22"/>
        </w:rPr>
        <w:t xml:space="preserve"> (SD</w:t>
      </w:r>
      <w:r w:rsidR="00567F36" w:rsidRPr="00FC252D">
        <w:rPr>
          <w:rFonts w:cs="Arial"/>
          <w:szCs w:val="22"/>
        </w:rPr>
        <w:t>1</w:t>
      </w:r>
      <w:r w:rsidR="00126337" w:rsidRPr="00FC252D">
        <w:rPr>
          <w:rFonts w:cs="Arial"/>
          <w:szCs w:val="22"/>
        </w:rPr>
        <w:t>)</w:t>
      </w:r>
      <w:r w:rsidR="009B684E" w:rsidRPr="00FC252D">
        <w:rPr>
          <w:rFonts w:cs="Arial"/>
          <w:szCs w:val="22"/>
        </w:rPr>
        <w:t>.</w:t>
      </w:r>
    </w:p>
    <w:p w14:paraId="10D8B9D9" w14:textId="77777777" w:rsidR="009B684E" w:rsidRDefault="009B684E" w:rsidP="009B684E">
      <w:pPr>
        <w:spacing w:after="240"/>
      </w:pPr>
      <w:r>
        <w:t xml:space="preserve">FSANZ established a risk management framework based on three main principles to guide our risk management approach. These principles reflect FSANZ’s priority objective of addressing the risk to public health and safety in Australia. They also reflect stakeholder comments on the need for a national approach to safe food production in the food service and related retail sectors, with minimal burden on industry. </w:t>
      </w:r>
    </w:p>
    <w:p w14:paraId="1118DC05" w14:textId="6B0C43CD" w:rsidR="00C439D2" w:rsidRPr="00C439D2" w:rsidRDefault="00C439D2" w:rsidP="00C439D2">
      <w:pPr>
        <w:pStyle w:val="Caption"/>
        <w:keepNext/>
        <w:rPr>
          <w:b/>
          <w:color w:val="auto"/>
        </w:rPr>
      </w:pPr>
      <w:r w:rsidRPr="00C439D2">
        <w:rPr>
          <w:b/>
          <w:color w:val="auto"/>
        </w:rPr>
        <w:t xml:space="preserve">Table </w:t>
      </w:r>
      <w:r w:rsidRPr="00C439D2">
        <w:rPr>
          <w:b/>
          <w:color w:val="auto"/>
        </w:rPr>
        <w:fldChar w:fldCharType="begin"/>
      </w:r>
      <w:r w:rsidRPr="00C439D2">
        <w:rPr>
          <w:b/>
          <w:color w:val="auto"/>
        </w:rPr>
        <w:instrText xml:space="preserve"> SEQ Table \* ARABIC </w:instrText>
      </w:r>
      <w:r w:rsidRPr="00C439D2">
        <w:rPr>
          <w:b/>
          <w:color w:val="auto"/>
        </w:rPr>
        <w:fldChar w:fldCharType="separate"/>
      </w:r>
      <w:r w:rsidR="00302799">
        <w:rPr>
          <w:b/>
          <w:noProof/>
          <w:color w:val="auto"/>
        </w:rPr>
        <w:t>4</w:t>
      </w:r>
      <w:r w:rsidRPr="00C439D2">
        <w:rPr>
          <w:b/>
          <w:color w:val="auto"/>
        </w:rPr>
        <w:fldChar w:fldCharType="end"/>
      </w:r>
      <w:r w:rsidRPr="00C439D2">
        <w:rPr>
          <w:b/>
          <w:color w:val="auto"/>
        </w:rPr>
        <w:t>: FSANZ risk management principles</w:t>
      </w:r>
    </w:p>
    <w:tbl>
      <w:tblPr>
        <w:tblStyle w:val="TableGrid"/>
        <w:tblW w:w="9493" w:type="dxa"/>
        <w:tblLook w:val="04A0" w:firstRow="1" w:lastRow="0" w:firstColumn="1" w:lastColumn="0" w:noHBand="0" w:noVBand="1"/>
      </w:tblPr>
      <w:tblGrid>
        <w:gridCol w:w="2143"/>
        <w:gridCol w:w="7350"/>
      </w:tblGrid>
      <w:tr w:rsidR="009B684E" w:rsidRPr="00217F91" w14:paraId="4E372BE7" w14:textId="77777777" w:rsidTr="00DC1ACC">
        <w:tc>
          <w:tcPr>
            <w:tcW w:w="2143" w:type="dxa"/>
            <w:shd w:val="clear" w:color="auto" w:fill="D9D9D9" w:themeFill="background1" w:themeFillShade="D9"/>
          </w:tcPr>
          <w:p w14:paraId="655E721A" w14:textId="77777777" w:rsidR="009B684E" w:rsidRPr="00DF71E2" w:rsidRDefault="009B684E" w:rsidP="002C2A21">
            <w:pPr>
              <w:rPr>
                <w:b/>
                <w:lang w:eastAsia="en-AU" w:bidi="ar-SA"/>
              </w:rPr>
            </w:pPr>
            <w:r w:rsidRPr="00DF71E2">
              <w:rPr>
                <w:b/>
                <w:lang w:eastAsia="en-AU" w:bidi="ar-SA"/>
              </w:rPr>
              <w:t>Principle</w:t>
            </w:r>
          </w:p>
        </w:tc>
        <w:tc>
          <w:tcPr>
            <w:tcW w:w="7350" w:type="dxa"/>
            <w:shd w:val="clear" w:color="auto" w:fill="D9D9D9" w:themeFill="background1" w:themeFillShade="D9"/>
          </w:tcPr>
          <w:p w14:paraId="734C3917" w14:textId="77777777" w:rsidR="009B684E" w:rsidRPr="00DF71E2" w:rsidRDefault="009B684E" w:rsidP="002C2A21">
            <w:pPr>
              <w:rPr>
                <w:b/>
                <w:lang w:eastAsia="en-AU" w:bidi="ar-SA"/>
              </w:rPr>
            </w:pPr>
            <w:r w:rsidRPr="00DF71E2">
              <w:rPr>
                <w:b/>
                <w:lang w:eastAsia="en-AU" w:bidi="ar-SA"/>
              </w:rPr>
              <w:t>Outcome</w:t>
            </w:r>
          </w:p>
        </w:tc>
      </w:tr>
      <w:tr w:rsidR="009B684E" w14:paraId="51633F0C" w14:textId="77777777" w:rsidTr="00FC252D">
        <w:tc>
          <w:tcPr>
            <w:tcW w:w="2143" w:type="dxa"/>
          </w:tcPr>
          <w:p w14:paraId="359C2332" w14:textId="77777777" w:rsidR="009B684E" w:rsidRDefault="009B684E" w:rsidP="00552FED">
            <w:pPr>
              <w:rPr>
                <w:lang w:eastAsia="en-AU" w:bidi="ar-SA"/>
              </w:rPr>
            </w:pPr>
            <w:r>
              <w:rPr>
                <w:lang w:eastAsia="en-AU" w:bidi="ar-SA"/>
              </w:rPr>
              <w:t>Protection of public health and safety</w:t>
            </w:r>
          </w:p>
        </w:tc>
        <w:tc>
          <w:tcPr>
            <w:tcW w:w="7350" w:type="dxa"/>
          </w:tcPr>
          <w:p w14:paraId="41FF0CAE" w14:textId="77777777" w:rsidR="009B684E" w:rsidRDefault="009B684E" w:rsidP="00552FED">
            <w:pPr>
              <w:rPr>
                <w:lang w:eastAsia="en-AU" w:bidi="ar-SA"/>
              </w:rPr>
            </w:pPr>
            <w:r>
              <w:rPr>
                <w:lang w:eastAsia="en-AU" w:bidi="ar-SA"/>
              </w:rPr>
              <w:t>Reduction in foodborne illnesses attributed to food service/ retail sectors.</w:t>
            </w:r>
          </w:p>
          <w:p w14:paraId="70964F0B" w14:textId="77777777" w:rsidR="009B684E" w:rsidRDefault="009B684E" w:rsidP="00552FED">
            <w:pPr>
              <w:rPr>
                <w:lang w:eastAsia="en-AU" w:bidi="ar-SA"/>
              </w:rPr>
            </w:pPr>
            <w:r>
              <w:rPr>
                <w:lang w:eastAsia="en-AU" w:bidi="ar-SA"/>
              </w:rPr>
              <w:t>Improved skills and knowledge and presence of a certified FSS will improve food safety awareness and practices, reducing cases of foodborne illness.</w:t>
            </w:r>
          </w:p>
        </w:tc>
      </w:tr>
      <w:tr w:rsidR="009B684E" w14:paraId="515A4E9D" w14:textId="77777777" w:rsidTr="00FC252D">
        <w:tc>
          <w:tcPr>
            <w:tcW w:w="2143" w:type="dxa"/>
          </w:tcPr>
          <w:p w14:paraId="6776987B" w14:textId="77777777" w:rsidR="009B684E" w:rsidRDefault="009B684E" w:rsidP="00552FED">
            <w:pPr>
              <w:rPr>
                <w:lang w:eastAsia="en-AU" w:bidi="ar-SA"/>
              </w:rPr>
            </w:pPr>
            <w:r>
              <w:rPr>
                <w:lang w:eastAsia="en-AU" w:bidi="ar-SA"/>
              </w:rPr>
              <w:t>Cost-effective, risk-proportionate measures</w:t>
            </w:r>
          </w:p>
        </w:tc>
        <w:tc>
          <w:tcPr>
            <w:tcW w:w="7350" w:type="dxa"/>
          </w:tcPr>
          <w:p w14:paraId="4BC4A0D1" w14:textId="77777777" w:rsidR="009B684E" w:rsidRDefault="009B684E" w:rsidP="00552FED">
            <w:pPr>
              <w:rPr>
                <w:lang w:eastAsia="en-AU" w:bidi="ar-SA"/>
              </w:rPr>
            </w:pPr>
            <w:r w:rsidRPr="00A944E1">
              <w:rPr>
                <w:lang w:eastAsia="en-AU" w:bidi="ar-SA"/>
              </w:rPr>
              <w:t xml:space="preserve">Regulatory measures </w:t>
            </w:r>
            <w:r>
              <w:rPr>
                <w:lang w:eastAsia="en-AU" w:bidi="ar-SA"/>
              </w:rPr>
              <w:t>are applied proportionate to identified risks. Those businesses with higher risks have more stringent requirements and more tools to manage their risks.</w:t>
            </w:r>
          </w:p>
        </w:tc>
      </w:tr>
      <w:tr w:rsidR="009B684E" w14:paraId="7FFDF7E6" w14:textId="77777777" w:rsidTr="00FC252D">
        <w:tc>
          <w:tcPr>
            <w:tcW w:w="2143" w:type="dxa"/>
          </w:tcPr>
          <w:p w14:paraId="1086AAF7" w14:textId="77777777" w:rsidR="009B684E" w:rsidRDefault="009B684E" w:rsidP="00552FED">
            <w:pPr>
              <w:rPr>
                <w:lang w:eastAsia="en-AU" w:bidi="ar-SA"/>
              </w:rPr>
            </w:pPr>
            <w:r>
              <w:rPr>
                <w:lang w:eastAsia="en-AU" w:bidi="ar-SA"/>
              </w:rPr>
              <w:t>Consistency</w:t>
            </w:r>
          </w:p>
        </w:tc>
        <w:tc>
          <w:tcPr>
            <w:tcW w:w="7350" w:type="dxa"/>
          </w:tcPr>
          <w:p w14:paraId="1959759D" w14:textId="77777777" w:rsidR="009B684E" w:rsidRDefault="009B684E" w:rsidP="00552FED">
            <w:pPr>
              <w:rPr>
                <w:lang w:eastAsia="en-AU" w:bidi="ar-SA"/>
              </w:rPr>
            </w:pPr>
            <w:r>
              <w:rPr>
                <w:lang w:eastAsia="en-AU" w:bidi="ar-SA"/>
              </w:rPr>
              <w:t>B</w:t>
            </w:r>
            <w:r w:rsidRPr="00DF71E2">
              <w:rPr>
                <w:lang w:eastAsia="en-AU" w:bidi="ar-SA"/>
              </w:rPr>
              <w:t>usinesses meet a minimum base level of food safety</w:t>
            </w:r>
            <w:r>
              <w:rPr>
                <w:lang w:eastAsia="en-AU" w:bidi="ar-SA"/>
              </w:rPr>
              <w:t xml:space="preserve"> training. </w:t>
            </w:r>
          </w:p>
          <w:p w14:paraId="1801BE23" w14:textId="77777777" w:rsidR="009B684E" w:rsidRDefault="009B684E" w:rsidP="00552FED">
            <w:pPr>
              <w:rPr>
                <w:lang w:eastAsia="en-AU" w:bidi="ar-SA"/>
              </w:rPr>
            </w:pPr>
            <w:r w:rsidRPr="00A944E1">
              <w:rPr>
                <w:lang w:eastAsia="en-AU" w:bidi="ar-SA"/>
              </w:rPr>
              <w:t>Provides common accountability framework based on scientific risk.</w:t>
            </w:r>
          </w:p>
          <w:p w14:paraId="15E7FDBD" w14:textId="77777777" w:rsidR="009B684E" w:rsidRDefault="009B684E" w:rsidP="00552FED">
            <w:pPr>
              <w:rPr>
                <w:lang w:eastAsia="en-AU" w:bidi="ar-SA"/>
              </w:rPr>
            </w:pPr>
            <w:r>
              <w:rPr>
                <w:lang w:eastAsia="en-AU" w:bidi="ar-SA"/>
              </w:rPr>
              <w:t>Allows for</w:t>
            </w:r>
            <w:r w:rsidRPr="00DF71E2" w:rsidDel="0042759F">
              <w:rPr>
                <w:lang w:eastAsia="en-AU" w:bidi="ar-SA"/>
              </w:rPr>
              <w:t xml:space="preserve"> consistent i</w:t>
            </w:r>
            <w:r w:rsidRPr="00DF71E2">
              <w:rPr>
                <w:lang w:eastAsia="en-AU" w:bidi="ar-SA"/>
              </w:rPr>
              <w:t xml:space="preserve">mplementation of </w:t>
            </w:r>
            <w:r>
              <w:rPr>
                <w:lang w:eastAsia="en-AU" w:bidi="ar-SA"/>
              </w:rPr>
              <w:t xml:space="preserve">national </w:t>
            </w:r>
            <w:r w:rsidRPr="00DF71E2">
              <w:rPr>
                <w:lang w:eastAsia="en-AU" w:bidi="ar-SA"/>
              </w:rPr>
              <w:t>requirements</w:t>
            </w:r>
            <w:r>
              <w:rPr>
                <w:lang w:eastAsia="en-AU" w:bidi="ar-SA"/>
              </w:rPr>
              <w:t>.</w:t>
            </w:r>
          </w:p>
        </w:tc>
      </w:tr>
    </w:tbl>
    <w:p w14:paraId="4D1C3441" w14:textId="77777777" w:rsidR="009B684E" w:rsidRDefault="009B684E" w:rsidP="009B684E">
      <w:pPr>
        <w:rPr>
          <w:rFonts w:eastAsia="SimSun"/>
          <w:szCs w:val="22"/>
          <w:lang w:eastAsia="zh-CN"/>
        </w:rPr>
      </w:pPr>
    </w:p>
    <w:p w14:paraId="4E0D8BA3" w14:textId="77777777" w:rsidR="009B684E" w:rsidRPr="00AA3759" w:rsidRDefault="009B684E" w:rsidP="009B684E">
      <w:pPr>
        <w:rPr>
          <w:szCs w:val="22"/>
        </w:rPr>
      </w:pPr>
      <w:r w:rsidRPr="00AA3759">
        <w:rPr>
          <w:rFonts w:eastAsia="SimSun"/>
          <w:szCs w:val="22"/>
          <w:lang w:eastAsia="zh-CN"/>
        </w:rPr>
        <w:t xml:space="preserve">FSANZ </w:t>
      </w:r>
      <w:r>
        <w:rPr>
          <w:rFonts w:eastAsia="SimSun"/>
          <w:szCs w:val="22"/>
          <w:lang w:eastAsia="zh-CN"/>
        </w:rPr>
        <w:t>gave regard to</w:t>
      </w:r>
      <w:r w:rsidRPr="00AA3759">
        <w:rPr>
          <w:rFonts w:eastAsia="SimSun"/>
          <w:szCs w:val="22"/>
          <w:lang w:eastAsia="zh-CN"/>
        </w:rPr>
        <w:t xml:space="preserve"> the food regulatory system principles for good regulation</w:t>
      </w:r>
      <w:r>
        <w:rPr>
          <w:rStyle w:val="FootnoteReference"/>
          <w:rFonts w:eastAsia="SimSun"/>
          <w:szCs w:val="22"/>
          <w:lang w:eastAsia="zh-CN"/>
        </w:rPr>
        <w:footnoteReference w:id="16"/>
      </w:r>
      <w:r w:rsidRPr="00AA3759">
        <w:rPr>
          <w:rFonts w:eastAsia="SimSun"/>
          <w:szCs w:val="22"/>
          <w:lang w:eastAsia="zh-CN"/>
        </w:rPr>
        <w:t xml:space="preserve">. </w:t>
      </w:r>
      <w:r w:rsidRPr="00AA3759">
        <w:rPr>
          <w:szCs w:val="22"/>
        </w:rPr>
        <w:t>These principles require us to:</w:t>
      </w:r>
    </w:p>
    <w:p w14:paraId="78B2C6E0" w14:textId="77777777" w:rsidR="009B684E" w:rsidRPr="00AA3759" w:rsidRDefault="009B684E" w:rsidP="009B684E">
      <w:pPr>
        <w:pStyle w:val="FSBullet1"/>
      </w:pPr>
      <w:r w:rsidRPr="00AA3759">
        <w:t>be efficient in our use of regulation</w:t>
      </w:r>
      <w:r>
        <w:t xml:space="preserve">, </w:t>
      </w:r>
      <w:r w:rsidRPr="00AA3759">
        <w:t>mean</w:t>
      </w:r>
      <w:r>
        <w:t>ing</w:t>
      </w:r>
      <w:r w:rsidRPr="00AA3759">
        <w:t xml:space="preserve"> we will:</w:t>
      </w:r>
    </w:p>
    <w:p w14:paraId="7D847755" w14:textId="77777777" w:rsidR="009B684E" w:rsidRPr="00AA3759" w:rsidRDefault="009B684E" w:rsidP="009B684E">
      <w:pPr>
        <w:pStyle w:val="FSBullet2"/>
      </w:pPr>
      <w:r w:rsidRPr="00AA3759">
        <w:t>find an optimal level of regulation so as to achieve the desired outcomes with minimal cost</w:t>
      </w:r>
    </w:p>
    <w:p w14:paraId="5DE2F0BD" w14:textId="77777777" w:rsidR="009B684E" w:rsidRPr="00AA3759" w:rsidRDefault="009B684E" w:rsidP="009B684E">
      <w:pPr>
        <w:pStyle w:val="FSBullet2"/>
      </w:pPr>
      <w:r w:rsidRPr="00AA3759">
        <w:t>minimise the impact on competition</w:t>
      </w:r>
    </w:p>
    <w:p w14:paraId="663A5C0C" w14:textId="77777777" w:rsidR="009B684E" w:rsidRPr="00AA3759" w:rsidRDefault="009B684E" w:rsidP="009B684E">
      <w:pPr>
        <w:pStyle w:val="FSBullet2"/>
      </w:pPr>
      <w:r w:rsidRPr="00AA3759">
        <w:lastRenderedPageBreak/>
        <w:t>where possible, ensure compatibility with international standards</w:t>
      </w:r>
    </w:p>
    <w:p w14:paraId="67EA2CF2" w14:textId="77777777" w:rsidR="009B684E" w:rsidRPr="00AA3759" w:rsidRDefault="009B684E" w:rsidP="009B684E">
      <w:pPr>
        <w:pStyle w:val="FSBullet2"/>
      </w:pPr>
      <w:r w:rsidRPr="00AA3759">
        <w:t>not restrict international or interstate trade</w:t>
      </w:r>
    </w:p>
    <w:p w14:paraId="1DCB3208" w14:textId="77777777" w:rsidR="009B684E" w:rsidRPr="00AA3759" w:rsidRDefault="009B684E" w:rsidP="009B684E">
      <w:pPr>
        <w:pStyle w:val="FSBullet1"/>
      </w:pPr>
      <w:r w:rsidRPr="00AA3759">
        <w:t>be effective in our use of regulation</w:t>
      </w:r>
      <w:r>
        <w:t>, meaning w</w:t>
      </w:r>
      <w:r w:rsidRPr="00AA3759">
        <w:t>e will ensure food regulation:</w:t>
      </w:r>
    </w:p>
    <w:p w14:paraId="174B28E3" w14:textId="77777777" w:rsidR="009B684E" w:rsidRPr="00AA3759" w:rsidRDefault="009B684E" w:rsidP="009B684E">
      <w:pPr>
        <w:pStyle w:val="FSBullet2"/>
      </w:pPr>
      <w:r w:rsidRPr="00AA3759">
        <w:t>is able to be complied with and effectively enforced</w:t>
      </w:r>
    </w:p>
    <w:p w14:paraId="396C46FC" w14:textId="77777777" w:rsidR="009B684E" w:rsidRPr="00AA3759" w:rsidRDefault="009B684E" w:rsidP="009B684E">
      <w:pPr>
        <w:pStyle w:val="FSBullet2"/>
      </w:pPr>
      <w:r w:rsidRPr="00AA3759">
        <w:t>has clearly identifiable outcomes</w:t>
      </w:r>
    </w:p>
    <w:p w14:paraId="09EC0612" w14:textId="77777777" w:rsidR="009B684E" w:rsidRPr="00AA3759" w:rsidRDefault="009B684E" w:rsidP="009B684E">
      <w:pPr>
        <w:pStyle w:val="FSBullet2"/>
      </w:pPr>
      <w:r w:rsidRPr="00AA3759">
        <w:t>is flexible</w:t>
      </w:r>
    </w:p>
    <w:p w14:paraId="3EB18FD2" w14:textId="77777777" w:rsidR="009B684E" w:rsidRPr="00AA3759" w:rsidRDefault="009B684E" w:rsidP="009B684E">
      <w:pPr>
        <w:pStyle w:val="FSBullet2"/>
      </w:pPr>
      <w:r w:rsidRPr="00AA3759">
        <w:t>is regularly reviewed</w:t>
      </w:r>
    </w:p>
    <w:p w14:paraId="3CE7365E" w14:textId="77777777" w:rsidR="009B684E" w:rsidRPr="00AA3759" w:rsidRDefault="009B684E" w:rsidP="009B684E">
      <w:pPr>
        <w:pStyle w:val="FSBullet1"/>
      </w:pPr>
      <w:r w:rsidRPr="00AA3759">
        <w:t>be transparent in our regulation making process</w:t>
      </w:r>
    </w:p>
    <w:p w14:paraId="0D1D8E24" w14:textId="71693776" w:rsidR="009B684E" w:rsidRDefault="009B684E" w:rsidP="009B684E">
      <w:pPr>
        <w:pStyle w:val="FSBullet1"/>
      </w:pPr>
      <w:r w:rsidRPr="00AA3759">
        <w:t>have regulatory processes and requirements that are as clear, understandable and accessible as possible</w:t>
      </w:r>
    </w:p>
    <w:p w14:paraId="6BD06F84" w14:textId="3B27BEC0" w:rsidR="009B684E" w:rsidRDefault="009B684E" w:rsidP="003C6298">
      <w:pPr>
        <w:pStyle w:val="FSBullet1"/>
      </w:pPr>
      <w:r w:rsidRPr="00AA3759">
        <w:t>be equitable.</w:t>
      </w:r>
    </w:p>
    <w:p w14:paraId="18FFABCE" w14:textId="34D1B318" w:rsidR="004B7C19" w:rsidRDefault="00035F98" w:rsidP="009B684E">
      <w:pPr>
        <w:pStyle w:val="Heading2"/>
        <w:ind w:left="567"/>
      </w:pPr>
      <w:bookmarkStart w:id="36" w:name="_Toc94172655"/>
      <w:r>
        <w:t>Food safety management tools</w:t>
      </w:r>
      <w:bookmarkEnd w:id="36"/>
    </w:p>
    <w:p w14:paraId="75CF8A02" w14:textId="77777777" w:rsidR="0020736B" w:rsidRDefault="0020736B" w:rsidP="0020736B">
      <w:pPr>
        <w:rPr>
          <w:color w:val="000000"/>
        </w:rPr>
      </w:pPr>
      <w:r>
        <w:rPr>
          <w:color w:val="000000"/>
        </w:rPr>
        <w:t>Food ministers identified three food safety management tools</w:t>
      </w:r>
      <w:r w:rsidDel="00C34A8A">
        <w:rPr>
          <w:color w:val="000000"/>
        </w:rPr>
        <w:t xml:space="preserve"> </w:t>
      </w:r>
      <w:r>
        <w:rPr>
          <w:color w:val="000000"/>
        </w:rPr>
        <w:t>for FSANZ to consider and assess in this proposal. These tools are:</w:t>
      </w:r>
    </w:p>
    <w:p w14:paraId="35EE5B26" w14:textId="77777777" w:rsidR="0020736B" w:rsidRDefault="0020736B" w:rsidP="0020736B">
      <w:pPr>
        <w:pStyle w:val="FSBullet1"/>
        <w:numPr>
          <w:ilvl w:val="0"/>
          <w:numId w:val="28"/>
        </w:numPr>
      </w:pPr>
      <w:r>
        <w:t>a certified food safety supervisor (FSS)</w:t>
      </w:r>
    </w:p>
    <w:p w14:paraId="142B945A" w14:textId="77777777" w:rsidR="0020736B" w:rsidRDefault="0020736B" w:rsidP="0020736B">
      <w:pPr>
        <w:pStyle w:val="FSBullet1"/>
        <w:numPr>
          <w:ilvl w:val="0"/>
          <w:numId w:val="28"/>
        </w:numPr>
      </w:pPr>
      <w:r w:rsidRPr="00E43172">
        <w:t>food handler training</w:t>
      </w:r>
      <w:r>
        <w:t xml:space="preserve"> (FHT)</w:t>
      </w:r>
    </w:p>
    <w:p w14:paraId="66E70879" w14:textId="77777777" w:rsidR="0020736B" w:rsidRDefault="0020736B" w:rsidP="0020736B">
      <w:pPr>
        <w:pStyle w:val="FSBullet1"/>
        <w:numPr>
          <w:ilvl w:val="0"/>
          <w:numId w:val="28"/>
        </w:numPr>
        <w:rPr>
          <w:lang w:val="en-US"/>
        </w:rPr>
      </w:pPr>
      <w:r>
        <w:t xml:space="preserve">evidence to substantiate food safety management </w:t>
      </w:r>
      <w:r w:rsidRPr="00F36B3D">
        <w:t>(E)</w:t>
      </w:r>
      <w:r>
        <w:t>.</w:t>
      </w:r>
      <w:r w:rsidRPr="00B84E32">
        <w:rPr>
          <w:lang w:val="en-US"/>
        </w:rPr>
        <w:t xml:space="preserve"> </w:t>
      </w:r>
    </w:p>
    <w:p w14:paraId="483D0A9C" w14:textId="77777777" w:rsidR="0020736B" w:rsidRDefault="0020736B" w:rsidP="0020736B"/>
    <w:p w14:paraId="68CCD7CA" w14:textId="30D31B02" w:rsidR="0020736B" w:rsidRDefault="0020736B" w:rsidP="0020736B">
      <w:r>
        <w:t xml:space="preserve">We examined literature to understand the impacts on businesses where these types of tools, or similar, have already been introduced. We </w:t>
      </w:r>
      <w:r w:rsidR="00247057">
        <w:t xml:space="preserve">assessed </w:t>
      </w:r>
      <w:r>
        <w:t xml:space="preserve">the gap between the proposed tools and existing </w:t>
      </w:r>
      <w:r w:rsidR="00035D41">
        <w:t xml:space="preserve">national </w:t>
      </w:r>
      <w:r>
        <w:t>arrangements (</w:t>
      </w:r>
      <w:r w:rsidR="00035D41">
        <w:t>i</w:t>
      </w:r>
      <w:r w:rsidR="00567F36">
        <w:t>.</w:t>
      </w:r>
      <w:r w:rsidR="00035D41">
        <w:t>e</w:t>
      </w:r>
      <w:r w:rsidR="00567F36">
        <w:t>.</w:t>
      </w:r>
      <w:r w:rsidR="00035D41">
        <w:t xml:space="preserve"> those </w:t>
      </w:r>
      <w:r>
        <w:t xml:space="preserve">in the Code) and </w:t>
      </w:r>
      <w:r w:rsidR="00035D41">
        <w:t xml:space="preserve">those that are </w:t>
      </w:r>
      <w:r>
        <w:t xml:space="preserve">state </w:t>
      </w:r>
      <w:r w:rsidR="00035D41">
        <w:t>or territory specific</w:t>
      </w:r>
      <w:r w:rsidR="00FC252D">
        <w:t xml:space="preserve">. </w:t>
      </w:r>
      <w:r>
        <w:t>Our assessment of</w:t>
      </w:r>
      <w:r w:rsidR="00035D41">
        <w:t xml:space="preserve"> the</w:t>
      </w:r>
      <w:r>
        <w:t xml:space="preserve"> </w:t>
      </w:r>
      <w:r w:rsidR="00035D41">
        <w:t xml:space="preserve">capacity of </w:t>
      </w:r>
      <w:r>
        <w:t xml:space="preserve">each tool to mitigate the key contributors to foodborne illness is outlined below and detailed </w:t>
      </w:r>
      <w:r w:rsidRPr="00FC252D">
        <w:t>in SD</w:t>
      </w:r>
      <w:r w:rsidR="00567F36" w:rsidRPr="00FC252D">
        <w:t>1</w:t>
      </w:r>
      <w:r w:rsidRPr="00FC252D">
        <w:t>.</w:t>
      </w:r>
      <w:r>
        <w:t xml:space="preserve"> </w:t>
      </w:r>
    </w:p>
    <w:p w14:paraId="2DBFF1F8" w14:textId="5EAB976D" w:rsidR="00B31DDB" w:rsidRDefault="00B31DDB" w:rsidP="0020736B"/>
    <w:p w14:paraId="77DD1CDE" w14:textId="43451C91" w:rsidR="00B31DDB" w:rsidRDefault="00B31DDB" w:rsidP="00B31DDB">
      <w:pPr>
        <w:pStyle w:val="FSBullet1"/>
        <w:numPr>
          <w:ilvl w:val="0"/>
          <w:numId w:val="0"/>
        </w:numPr>
        <w:spacing w:after="240"/>
      </w:pPr>
      <w:r>
        <w:t>We also considered i</w:t>
      </w:r>
      <w:r w:rsidRPr="00EF0EFD">
        <w:t>nternational approaches</w:t>
      </w:r>
      <w:r>
        <w:t xml:space="preserve"> </w:t>
      </w:r>
      <w:r>
        <w:rPr>
          <w:lang w:val="en-US"/>
        </w:rPr>
        <w:t>to</w:t>
      </w:r>
      <w:r w:rsidRPr="00A83AD8">
        <w:rPr>
          <w:lang w:val="en-US"/>
        </w:rPr>
        <w:t xml:space="preserve"> food safety management </w:t>
      </w:r>
      <w:r>
        <w:rPr>
          <w:lang w:val="en-US"/>
        </w:rPr>
        <w:t xml:space="preserve">which focus on preventing food safety issues. </w:t>
      </w:r>
      <w:r>
        <w:t xml:space="preserve">International guidance under </w:t>
      </w:r>
      <w:r w:rsidRPr="005E6225">
        <w:t>Codex</w:t>
      </w:r>
      <w:r>
        <w:t xml:space="preserve"> recognises that some food handling activities (such as temperature control; cleaning and sanitising) require enhanced attention above good hygiene practices (SD1). </w:t>
      </w:r>
    </w:p>
    <w:p w14:paraId="336F9181" w14:textId="77777777" w:rsidR="0020736B" w:rsidRPr="00B134A5" w:rsidRDefault="0020736B" w:rsidP="0020736B">
      <w:pPr>
        <w:rPr>
          <w:b/>
          <w:i/>
        </w:rPr>
      </w:pPr>
      <w:r w:rsidRPr="00B134A5">
        <w:rPr>
          <w:b/>
          <w:i/>
        </w:rPr>
        <w:t>Food Safety Supervisor (FSS)</w:t>
      </w:r>
    </w:p>
    <w:p w14:paraId="5A2DDB67" w14:textId="77777777" w:rsidR="0020736B" w:rsidRDefault="0020736B" w:rsidP="0020736B"/>
    <w:p w14:paraId="2C46DA95" w14:textId="5B004601" w:rsidR="0020736B" w:rsidRDefault="0020736B" w:rsidP="0020736B">
      <w:r>
        <w:t>This tool would require a</w:t>
      </w:r>
      <w:r w:rsidRPr="00B134A5">
        <w:t xml:space="preserve"> business to have a certified FSS who is reasonably available to supervise food handlers and manage the safe handling of </w:t>
      </w:r>
      <w:r>
        <w:t>PHF</w:t>
      </w:r>
      <w:r w:rsidRPr="00B134A5">
        <w:t xml:space="preserve">. </w:t>
      </w:r>
    </w:p>
    <w:p w14:paraId="353C49A4" w14:textId="77777777" w:rsidR="0020736B" w:rsidRDefault="0020736B" w:rsidP="0020736B"/>
    <w:p w14:paraId="4DD64D1D" w14:textId="31ECDF7A" w:rsidR="0020736B" w:rsidRDefault="0020736B" w:rsidP="0020736B">
      <w:r>
        <w:t xml:space="preserve">Through training, an </w:t>
      </w:r>
      <w:r w:rsidRPr="002673C7">
        <w:t xml:space="preserve">FSS </w:t>
      </w:r>
      <w:r>
        <w:t>would be</w:t>
      </w:r>
      <w:r w:rsidRPr="002673C7">
        <w:t xml:space="preserve"> qualified </w:t>
      </w:r>
      <w:r>
        <w:t xml:space="preserve">in </w:t>
      </w:r>
      <w:r w:rsidRPr="002673C7">
        <w:t>recognis</w:t>
      </w:r>
      <w:r>
        <w:t>ing</w:t>
      </w:r>
      <w:r w:rsidRPr="002673C7">
        <w:t xml:space="preserve"> and prevent</w:t>
      </w:r>
      <w:r>
        <w:t>ing</w:t>
      </w:r>
      <w:r w:rsidRPr="002673C7">
        <w:t xml:space="preserve"> </w:t>
      </w:r>
      <w:r>
        <w:t xml:space="preserve">the </w:t>
      </w:r>
      <w:r w:rsidRPr="002673C7">
        <w:t xml:space="preserve">risks associated with food handling in a food service and retail food business. </w:t>
      </w:r>
      <w:r>
        <w:t xml:space="preserve">To become a certified FSS, a food handler would need to </w:t>
      </w:r>
      <w:r w:rsidR="00126337">
        <w:t xml:space="preserve">spend approximately </w:t>
      </w:r>
      <w:r w:rsidR="00247057">
        <w:t xml:space="preserve">ten </w:t>
      </w:r>
      <w:r w:rsidR="00126337">
        <w:t xml:space="preserve">hours to </w:t>
      </w:r>
      <w:r w:rsidRPr="002673C7">
        <w:t>successful</w:t>
      </w:r>
      <w:r>
        <w:t>ly</w:t>
      </w:r>
      <w:r w:rsidRPr="002673C7">
        <w:t xml:space="preserve"> comple</w:t>
      </w:r>
      <w:r>
        <w:t>te</w:t>
      </w:r>
      <w:r w:rsidRPr="002673C7">
        <w:t xml:space="preserve"> training </w:t>
      </w:r>
      <w:r>
        <w:t>through a registered training organisation (RTO) or jurisdictional government endorsed provider</w:t>
      </w:r>
      <w:r w:rsidR="00126337">
        <w:t xml:space="preserve">. Approximate cost for time spent and the payment of course fees would be </w:t>
      </w:r>
      <w:r w:rsidRPr="004B103F">
        <w:rPr>
          <w:lang w:val="en-AU"/>
        </w:rPr>
        <w:t>$</w:t>
      </w:r>
      <w:r w:rsidR="00126337">
        <w:rPr>
          <w:lang w:val="en-AU"/>
        </w:rPr>
        <w:t>506.</w:t>
      </w:r>
    </w:p>
    <w:p w14:paraId="13A68902" w14:textId="77777777" w:rsidR="0020736B" w:rsidRDefault="0020736B" w:rsidP="0020736B"/>
    <w:p w14:paraId="64E1E54E" w14:textId="78330F6D" w:rsidR="0020736B" w:rsidRDefault="005322DF" w:rsidP="0020736B">
      <w:r w:rsidRPr="005322DF">
        <w:rPr>
          <w:u w:val="single"/>
        </w:rPr>
        <w:t>Assessment:</w:t>
      </w:r>
      <w:r>
        <w:t xml:space="preserve"> </w:t>
      </w:r>
      <w:r w:rsidR="0020736B">
        <w:t>FSANZ considers mandating a FSS would improve the FSS</w:t>
      </w:r>
      <w:r w:rsidR="00247057">
        <w:t>’</w:t>
      </w:r>
      <w:r w:rsidR="0020736B">
        <w:t xml:space="preserve">s management of </w:t>
      </w:r>
      <w:r w:rsidR="0020736B" w:rsidRPr="002673C7">
        <w:t>the overall food safety of the business</w:t>
      </w:r>
      <w:r w:rsidR="0020736B">
        <w:t>,</w:t>
      </w:r>
      <w:r w:rsidR="0020736B" w:rsidRPr="002673C7">
        <w:t xml:space="preserve"> </w:t>
      </w:r>
      <w:r w:rsidR="0020736B">
        <w:t>across</w:t>
      </w:r>
      <w:r w:rsidR="0020736B" w:rsidRPr="002673C7">
        <w:t xml:space="preserve"> staff</w:t>
      </w:r>
      <w:r w:rsidR="0020736B">
        <w:t xml:space="preserve"> and enhance the food safety culture within a business.</w:t>
      </w:r>
      <w:r w:rsidR="00FC252D">
        <w:t xml:space="preserve"> </w:t>
      </w:r>
    </w:p>
    <w:p w14:paraId="4926BB2D" w14:textId="77777777" w:rsidR="0020736B" w:rsidRDefault="0020736B" w:rsidP="0020736B"/>
    <w:p w14:paraId="07610E34" w14:textId="77777777" w:rsidR="0075363F" w:rsidRPr="00B134A5" w:rsidRDefault="0075363F" w:rsidP="0075363F">
      <w:pPr>
        <w:pStyle w:val="FSBullet1"/>
        <w:keepNext/>
        <w:numPr>
          <w:ilvl w:val="0"/>
          <w:numId w:val="0"/>
        </w:numPr>
        <w:rPr>
          <w:b/>
          <w:i/>
        </w:rPr>
      </w:pPr>
      <w:r w:rsidRPr="00B134A5">
        <w:rPr>
          <w:b/>
          <w:i/>
        </w:rPr>
        <w:t>Food Handler Training (FHT)</w:t>
      </w:r>
    </w:p>
    <w:p w14:paraId="316A9365" w14:textId="77777777" w:rsidR="0075363F" w:rsidRPr="00B134A5" w:rsidRDefault="0075363F" w:rsidP="0075363F">
      <w:pPr>
        <w:rPr>
          <w:lang w:bidi="ar-SA"/>
        </w:rPr>
      </w:pPr>
    </w:p>
    <w:p w14:paraId="190C2141" w14:textId="37F20844" w:rsidR="0075363F" w:rsidRDefault="0075363F" w:rsidP="00035D41">
      <w:pPr>
        <w:pStyle w:val="FSBullet1"/>
        <w:numPr>
          <w:ilvl w:val="0"/>
          <w:numId w:val="0"/>
        </w:numPr>
      </w:pPr>
      <w:r>
        <w:t>This tool would require a relevant business to ensure that a person handling PHF has undergone food handling training.</w:t>
      </w:r>
    </w:p>
    <w:p w14:paraId="5B33ECB2" w14:textId="77777777" w:rsidR="0075363F" w:rsidRDefault="0075363F" w:rsidP="00035D41">
      <w:pPr>
        <w:pStyle w:val="FSBullet1"/>
        <w:numPr>
          <w:ilvl w:val="0"/>
          <w:numId w:val="0"/>
        </w:numPr>
      </w:pPr>
    </w:p>
    <w:p w14:paraId="60A54D80" w14:textId="54D84322" w:rsidR="0075363F" w:rsidRDefault="0075363F" w:rsidP="0075363F">
      <w:pPr>
        <w:pStyle w:val="FSBullet1"/>
        <w:numPr>
          <w:ilvl w:val="0"/>
          <w:numId w:val="0"/>
        </w:numPr>
      </w:pPr>
      <w:r w:rsidRPr="00CF156E">
        <w:t xml:space="preserve">Completing FHT would take </w:t>
      </w:r>
      <w:r>
        <w:t xml:space="preserve">each food handler </w:t>
      </w:r>
      <w:r w:rsidRPr="00CF156E">
        <w:t>approximately 90 minutes to complete</w:t>
      </w:r>
      <w:r w:rsidR="00035D41">
        <w:t xml:space="preserve"> and is </w:t>
      </w:r>
      <w:r w:rsidR="00035D41" w:rsidRPr="00126337">
        <w:t>estimated to cost $</w:t>
      </w:r>
      <w:r w:rsidR="00126337" w:rsidRPr="00126337">
        <w:t>45</w:t>
      </w:r>
      <w:r w:rsidR="00035D41" w:rsidRPr="00126337">
        <w:t xml:space="preserve"> (for time spent)</w:t>
      </w:r>
      <w:r w:rsidRPr="00126337">
        <w:t>.</w:t>
      </w:r>
      <w:r w:rsidRPr="00CF156E">
        <w:t xml:space="preserve"> </w:t>
      </w:r>
      <w:r>
        <w:t>Free t</w:t>
      </w:r>
      <w:r w:rsidRPr="00CF156E">
        <w:t>raining is available online</w:t>
      </w:r>
      <w:r>
        <w:t>,</w:t>
      </w:r>
      <w:r w:rsidRPr="00CF156E">
        <w:t xml:space="preserve"> including through jurisdictional food regulator websites</w:t>
      </w:r>
      <w:r>
        <w:t>,</w:t>
      </w:r>
      <w:r w:rsidRPr="00CF156E">
        <w:t xml:space="preserve"> and would supplement inform</w:t>
      </w:r>
      <w:r>
        <w:t>ation from supervisors or peers.</w:t>
      </w:r>
    </w:p>
    <w:p w14:paraId="409B101A" w14:textId="77777777" w:rsidR="0075363F" w:rsidRDefault="0075363F" w:rsidP="0075363F"/>
    <w:p w14:paraId="17C57ECE" w14:textId="1298A928" w:rsidR="0075363F" w:rsidRDefault="0075363F" w:rsidP="0075363F">
      <w:r w:rsidRPr="005322DF">
        <w:rPr>
          <w:u w:val="single"/>
        </w:rPr>
        <w:t>Assessment:</w:t>
      </w:r>
      <w:r>
        <w:t xml:space="preserve"> FSANZ considers mandating</w:t>
      </w:r>
      <w:r w:rsidRPr="00E56393">
        <w:t xml:space="preserve"> food handler training with specified content</w:t>
      </w:r>
      <w:r w:rsidRPr="00E56393" w:rsidDel="00FC7531">
        <w:t xml:space="preserve"> </w:t>
      </w:r>
      <w:r>
        <w:t xml:space="preserve">would increase </w:t>
      </w:r>
      <w:r w:rsidRPr="00E56393">
        <w:t>awareness of the importance</w:t>
      </w:r>
      <w:r>
        <w:t xml:space="preserve"> of, and techniques</w:t>
      </w:r>
      <w:r w:rsidRPr="00E56393">
        <w:t xml:space="preserve"> for</w:t>
      </w:r>
      <w:r>
        <w:t>,</w:t>
      </w:r>
      <w:r w:rsidRPr="00E56393">
        <w:t xml:space="preserve"> safe food handling</w:t>
      </w:r>
      <w:r>
        <w:t>.</w:t>
      </w:r>
    </w:p>
    <w:p w14:paraId="157F476A" w14:textId="18709CF8" w:rsidR="0020736B" w:rsidRDefault="0020736B" w:rsidP="0020736B"/>
    <w:p w14:paraId="486AFEEC" w14:textId="77777777" w:rsidR="0075363F" w:rsidRPr="00B134A5" w:rsidRDefault="0075363F" w:rsidP="0075363F">
      <w:pPr>
        <w:rPr>
          <w:b/>
          <w:i/>
        </w:rPr>
      </w:pPr>
      <w:r w:rsidRPr="00B134A5">
        <w:rPr>
          <w:b/>
          <w:i/>
        </w:rPr>
        <w:t>Evidence to substantiate food safety management (E)</w:t>
      </w:r>
    </w:p>
    <w:p w14:paraId="4BC26F43" w14:textId="77777777" w:rsidR="0075363F" w:rsidRDefault="0075363F" w:rsidP="0075363F">
      <w:pPr>
        <w:rPr>
          <w:lang w:bidi="ar-SA"/>
        </w:rPr>
      </w:pPr>
    </w:p>
    <w:p w14:paraId="2099F9EA" w14:textId="3CBD23AC" w:rsidR="0075363F" w:rsidRDefault="0075363F" w:rsidP="0075363F">
      <w:pPr>
        <w:rPr>
          <w:lang w:eastAsia="en-AU"/>
        </w:rPr>
      </w:pPr>
      <w:r>
        <w:rPr>
          <w:lang w:eastAsia="en-AU"/>
        </w:rPr>
        <w:t xml:space="preserve">This tool would require businesses </w:t>
      </w:r>
      <w:r w:rsidDel="00FC7531">
        <w:rPr>
          <w:lang w:eastAsia="en-AU"/>
        </w:rPr>
        <w:t xml:space="preserve">to </w:t>
      </w:r>
      <w:r>
        <w:rPr>
          <w:lang w:eastAsia="en-AU"/>
        </w:rPr>
        <w:t xml:space="preserve">have evidence to substantiate that key processes, including temperature control, food processing, and cleaning and sanitising are managed. </w:t>
      </w:r>
    </w:p>
    <w:p w14:paraId="5C94563A" w14:textId="77777777" w:rsidR="0075363F" w:rsidRDefault="0075363F" w:rsidP="0075363F">
      <w:pPr>
        <w:rPr>
          <w:lang w:eastAsia="en-AU"/>
        </w:rPr>
      </w:pPr>
    </w:p>
    <w:p w14:paraId="25314AA1" w14:textId="159A0D1D" w:rsidR="0075363F" w:rsidRDefault="0075363F" w:rsidP="0075363F">
      <w:pPr>
        <w:rPr>
          <w:lang w:eastAsia="en-AU"/>
        </w:rPr>
      </w:pPr>
      <w:r>
        <w:rPr>
          <w:lang w:eastAsia="en-AU"/>
        </w:rPr>
        <w:t xml:space="preserve">It is estimated that a </w:t>
      </w:r>
      <w:r w:rsidRPr="00EE15F3">
        <w:rPr>
          <w:lang w:eastAsia="en-AU"/>
        </w:rPr>
        <w:t>business would spend 15 minutes per day implementing this tool.</w:t>
      </w:r>
      <w:r>
        <w:rPr>
          <w:lang w:eastAsia="en-AU"/>
        </w:rPr>
        <w:t xml:space="preserve"> The proposed </w:t>
      </w:r>
      <w:r w:rsidRPr="00A834D5">
        <w:rPr>
          <w:lang w:eastAsia="en-AU"/>
        </w:rPr>
        <w:t>requi</w:t>
      </w:r>
      <w:r>
        <w:rPr>
          <w:lang w:eastAsia="en-AU"/>
        </w:rPr>
        <w:t>rement is not to be considered a small-</w:t>
      </w:r>
      <w:r w:rsidRPr="00A834D5">
        <w:rPr>
          <w:lang w:eastAsia="en-AU"/>
        </w:rPr>
        <w:t>scale food safety program</w:t>
      </w:r>
      <w:r>
        <w:rPr>
          <w:lang w:eastAsia="en-AU"/>
        </w:rPr>
        <w:t>.</w:t>
      </w:r>
      <w:r w:rsidRPr="00A834D5">
        <w:rPr>
          <w:lang w:eastAsia="en-AU"/>
        </w:rPr>
        <w:t xml:space="preserve"> FSANZ has targeted the processes </w:t>
      </w:r>
      <w:r>
        <w:rPr>
          <w:lang w:eastAsia="en-AU"/>
        </w:rPr>
        <w:t>that</w:t>
      </w:r>
      <w:r w:rsidRPr="00A834D5">
        <w:rPr>
          <w:lang w:eastAsia="en-AU"/>
        </w:rPr>
        <w:t xml:space="preserve"> are </w:t>
      </w:r>
      <w:r>
        <w:rPr>
          <w:lang w:eastAsia="en-AU"/>
        </w:rPr>
        <w:t xml:space="preserve">known </w:t>
      </w:r>
      <w:r w:rsidRPr="00A834D5">
        <w:rPr>
          <w:lang w:eastAsia="en-AU"/>
        </w:rPr>
        <w:t>key contributors to food</w:t>
      </w:r>
      <w:r w:rsidRPr="00A834D5">
        <w:rPr>
          <w:lang w:eastAsia="en-AU"/>
        </w:rPr>
        <w:lastRenderedPageBreak/>
        <w:t xml:space="preserve">borne illness outbreaks. These </w:t>
      </w:r>
      <w:r w:rsidRPr="00B316CE">
        <w:rPr>
          <w:lang w:eastAsia="en-AU"/>
        </w:rPr>
        <w:t xml:space="preserve">processes </w:t>
      </w:r>
      <w:r w:rsidRPr="00A834D5">
        <w:rPr>
          <w:lang w:eastAsia="en-AU"/>
        </w:rPr>
        <w:t xml:space="preserve">are also reported anecdotally by food regulators as common areas </w:t>
      </w:r>
      <w:r>
        <w:rPr>
          <w:lang w:eastAsia="en-AU"/>
        </w:rPr>
        <w:t xml:space="preserve">of </w:t>
      </w:r>
      <w:r w:rsidRPr="00A834D5">
        <w:rPr>
          <w:lang w:eastAsia="en-AU"/>
        </w:rPr>
        <w:t xml:space="preserve">non-compliance during audits </w:t>
      </w:r>
      <w:r>
        <w:rPr>
          <w:lang w:eastAsia="en-AU"/>
        </w:rPr>
        <w:t xml:space="preserve">of </w:t>
      </w:r>
      <w:r w:rsidRPr="00A834D5">
        <w:rPr>
          <w:lang w:eastAsia="en-AU"/>
        </w:rPr>
        <w:t>in-scope business</w:t>
      </w:r>
      <w:r>
        <w:rPr>
          <w:lang w:eastAsia="en-AU"/>
        </w:rPr>
        <w:t>es</w:t>
      </w:r>
      <w:r w:rsidRPr="00A834D5">
        <w:rPr>
          <w:lang w:eastAsia="en-AU"/>
        </w:rPr>
        <w:t>.</w:t>
      </w:r>
    </w:p>
    <w:p w14:paraId="298654A2" w14:textId="77777777" w:rsidR="0075363F" w:rsidRDefault="0075363F" w:rsidP="0075363F">
      <w:pPr>
        <w:rPr>
          <w:lang w:eastAsia="en-AU"/>
        </w:rPr>
      </w:pPr>
    </w:p>
    <w:p w14:paraId="314DB0E5" w14:textId="544ADE61" w:rsidR="0075363F" w:rsidRDefault="005322DF" w:rsidP="0075363F">
      <w:pPr>
        <w:rPr>
          <w:lang w:eastAsia="en-AU"/>
        </w:rPr>
      </w:pPr>
      <w:r w:rsidRPr="005322DF">
        <w:rPr>
          <w:u w:val="single"/>
          <w:lang w:eastAsia="en-AU"/>
        </w:rPr>
        <w:t>Assessment:</w:t>
      </w:r>
      <w:r>
        <w:rPr>
          <w:lang w:eastAsia="en-AU"/>
        </w:rPr>
        <w:t xml:space="preserve"> </w:t>
      </w:r>
      <w:r w:rsidR="0075363F">
        <w:rPr>
          <w:lang w:eastAsia="en-AU"/>
        </w:rPr>
        <w:t xml:space="preserve">Recording this information in a template is already recommended best practice in Safe Food Australia, the guide to Standard 3.2.2. Our assessment indicates that </w:t>
      </w:r>
      <w:r w:rsidR="00191232">
        <w:rPr>
          <w:lang w:eastAsia="en-AU"/>
        </w:rPr>
        <w:t xml:space="preserve">mandating </w:t>
      </w:r>
      <w:r w:rsidR="0075363F">
        <w:rPr>
          <w:lang w:eastAsia="en-AU"/>
        </w:rPr>
        <w:t>this tool would help ensure a business can safely manage these processes, as well as contribute to the food safety culture within the business.</w:t>
      </w:r>
    </w:p>
    <w:p w14:paraId="3342926A" w14:textId="70E82BEE" w:rsidR="0075363F" w:rsidRDefault="0075363F" w:rsidP="0020736B"/>
    <w:p w14:paraId="15EA4BB0" w14:textId="291358F3" w:rsidR="0075363F" w:rsidRPr="005322DF" w:rsidRDefault="0075363F" w:rsidP="0020736B">
      <w:pPr>
        <w:rPr>
          <w:b/>
          <w:i/>
        </w:rPr>
      </w:pPr>
      <w:r w:rsidRPr="005322DF">
        <w:rPr>
          <w:b/>
          <w:i/>
        </w:rPr>
        <w:t>Summary</w:t>
      </w:r>
    </w:p>
    <w:p w14:paraId="05221C95" w14:textId="1498F7C8" w:rsidR="00035D41" w:rsidRDefault="00035D41" w:rsidP="00035D41">
      <w:pPr>
        <w:rPr>
          <w:lang w:eastAsia="en-AU"/>
        </w:rPr>
      </w:pPr>
      <w:r>
        <w:t>FSANZ assesses that some enhancement</w:t>
      </w:r>
      <w:r w:rsidRPr="00914E1E">
        <w:t xml:space="preserve"> </w:t>
      </w:r>
      <w:r>
        <w:t xml:space="preserve">is needed to address the higher inherent </w:t>
      </w:r>
      <w:r w:rsidR="00191232">
        <w:t xml:space="preserve">and unique </w:t>
      </w:r>
      <w:r>
        <w:t>risks in the food service sector, without overly burdening businesses</w:t>
      </w:r>
      <w:r w:rsidRPr="00914E1E">
        <w:t xml:space="preserve">. </w:t>
      </w:r>
      <w:r w:rsidR="005322DF">
        <w:rPr>
          <w:lang w:val="en-AU"/>
        </w:rPr>
        <w:t>A</w:t>
      </w:r>
      <w:r w:rsidR="006333C2">
        <w:rPr>
          <w:lang w:val="en-AU"/>
        </w:rPr>
        <w:t>pplying</w:t>
      </w:r>
      <w:r>
        <w:rPr>
          <w:lang w:val="en-AU"/>
        </w:rPr>
        <w:t xml:space="preserve"> </w:t>
      </w:r>
      <w:r>
        <w:rPr>
          <w:lang w:eastAsia="en-AU"/>
        </w:rPr>
        <w:t>nationally consistent tools, proportionate to food safety risks, is warranted.</w:t>
      </w:r>
    </w:p>
    <w:p w14:paraId="25E28BFE" w14:textId="77777777" w:rsidR="00035D41" w:rsidRDefault="00035D41" w:rsidP="00035D41"/>
    <w:p w14:paraId="66483572" w14:textId="734FBF68" w:rsidR="0075363F" w:rsidRDefault="0075363F" w:rsidP="0020736B">
      <w:r>
        <w:t xml:space="preserve">Consistent with the FSM WG report, FSANZ assessment considers that the baseline Standard 3.2.2 requirements are not sufficient for managing risks in food service and related retail. Similarly, imposition of detailed </w:t>
      </w:r>
      <w:r w:rsidR="005322DF">
        <w:rPr>
          <w:rFonts w:cs="Arial"/>
          <w:szCs w:val="22"/>
        </w:rPr>
        <w:t>Food Safety Programs</w:t>
      </w:r>
      <w:r w:rsidR="005322DF">
        <w:t xml:space="preserve"> </w:t>
      </w:r>
      <w:r>
        <w:t>(</w:t>
      </w:r>
      <w:r w:rsidR="005322DF">
        <w:t xml:space="preserve">FSP - </w:t>
      </w:r>
      <w:r w:rsidRPr="00914E1E">
        <w:t>Standard 3.2.1</w:t>
      </w:r>
      <w:r>
        <w:t xml:space="preserve">) would be too onerous for this sector </w:t>
      </w:r>
      <w:r w:rsidR="00035D41">
        <w:t>and</w:t>
      </w:r>
      <w:r>
        <w:t xml:space="preserve"> the costs would outweigh </w:t>
      </w:r>
      <w:r w:rsidR="00126337">
        <w:t>the benefits</w:t>
      </w:r>
      <w:r w:rsidR="00126337">
        <w:rPr>
          <w:rStyle w:val="FootnoteReference"/>
        </w:rPr>
        <w:footnoteReference w:id="17"/>
      </w:r>
      <w:r w:rsidR="00126337">
        <w:t>.</w:t>
      </w:r>
    </w:p>
    <w:p w14:paraId="2720F3A1" w14:textId="77777777" w:rsidR="00126337" w:rsidRDefault="00126337" w:rsidP="0020736B"/>
    <w:p w14:paraId="0C9138CC" w14:textId="2A37B31B" w:rsidR="0075363F" w:rsidRDefault="0075363F" w:rsidP="0075363F">
      <w:r>
        <w:t>Each tool is considered practical, readily implemented in the relevant sector, and able to be maintained over time. There are existing resources available (e.g. from FSANZ and jurisdictional food regulatory agencies) to support their use.</w:t>
      </w:r>
    </w:p>
    <w:p w14:paraId="3A3C920C" w14:textId="77777777" w:rsidR="0075363F" w:rsidRPr="00932C0C" w:rsidRDefault="0075363F" w:rsidP="0075363F"/>
    <w:p w14:paraId="3D2D86C8" w14:textId="20C235FB" w:rsidR="0075363F" w:rsidRPr="00B31DDB" w:rsidRDefault="0075363F" w:rsidP="0020736B">
      <w:r w:rsidRPr="001750A9">
        <w:rPr>
          <w:color w:val="000000"/>
        </w:rPr>
        <w:t>These tools enhance existing baseline requirements in the Code. They focus on improving food safety skills, knowledge and practices</w:t>
      </w:r>
      <w:r w:rsidRPr="0080420F">
        <w:rPr>
          <w:color w:val="000000"/>
        </w:rPr>
        <w:t xml:space="preserve">, </w:t>
      </w:r>
      <w:r>
        <w:t xml:space="preserve">based on our knowledge of which foods and their hazards are significant contributors to illness from these sectors, such as raw eggs used in the production of ready to eat foods. Improvements in these areas </w:t>
      </w:r>
      <w:r w:rsidRPr="001750A9">
        <w:rPr>
          <w:color w:val="000000"/>
        </w:rPr>
        <w:t>should provide the biggest impact on reducing foodborne illness.</w:t>
      </w:r>
      <w:r w:rsidRPr="005D3E40">
        <w:t xml:space="preserve"> </w:t>
      </w:r>
    </w:p>
    <w:p w14:paraId="4FCEF24E" w14:textId="1FA6D2B9" w:rsidR="005D4BA2" w:rsidRDefault="005D4BA2" w:rsidP="009B684E">
      <w:pPr>
        <w:pStyle w:val="Heading2"/>
        <w:ind w:left="567"/>
      </w:pPr>
      <w:bookmarkStart w:id="37" w:name="_Toc94172656"/>
      <w:r>
        <w:t>Stakeholder views</w:t>
      </w:r>
      <w:bookmarkEnd w:id="37"/>
    </w:p>
    <w:p w14:paraId="025D7A34" w14:textId="1A1A92E2" w:rsidR="009F24F6" w:rsidRPr="005322DF" w:rsidRDefault="003325BA" w:rsidP="003325BA">
      <w:r>
        <w:rPr>
          <w:rFonts w:cs="Arial"/>
          <w:szCs w:val="22"/>
        </w:rPr>
        <w:t xml:space="preserve">Further details about stakeholder engagement </w:t>
      </w:r>
      <w:r w:rsidR="00C41D3D">
        <w:rPr>
          <w:rFonts w:cs="Arial"/>
          <w:szCs w:val="22"/>
        </w:rPr>
        <w:t>are</w:t>
      </w:r>
      <w:r>
        <w:rPr>
          <w:rFonts w:cs="Arial"/>
          <w:szCs w:val="22"/>
        </w:rPr>
        <w:t xml:space="preserve"> </w:t>
      </w:r>
      <w:r w:rsidRPr="00FC252D">
        <w:rPr>
          <w:rFonts w:cs="Arial"/>
          <w:szCs w:val="22"/>
        </w:rPr>
        <w:t>in SD</w:t>
      </w:r>
      <w:r w:rsidR="00567F36" w:rsidRPr="00FC252D">
        <w:rPr>
          <w:rFonts w:cs="Arial"/>
          <w:szCs w:val="22"/>
        </w:rPr>
        <w:t>1</w:t>
      </w:r>
      <w:r w:rsidRPr="00FC252D">
        <w:rPr>
          <w:rFonts w:cs="Arial"/>
          <w:szCs w:val="22"/>
        </w:rPr>
        <w:t>.</w:t>
      </w:r>
      <w:r w:rsidR="005322DF">
        <w:t xml:space="preserve"> </w:t>
      </w:r>
      <w:r w:rsidR="00827B80" w:rsidRPr="00AA50BB">
        <w:rPr>
          <w:lang w:val="en-AU"/>
        </w:rPr>
        <w:t xml:space="preserve">Experiences and views have been sought on existing issues and tools, and </w:t>
      </w:r>
      <w:r w:rsidR="00035D41">
        <w:rPr>
          <w:lang w:val="en-AU"/>
        </w:rPr>
        <w:t xml:space="preserve">the </w:t>
      </w:r>
      <w:r w:rsidR="00827B80" w:rsidRPr="00AA50BB">
        <w:rPr>
          <w:lang w:val="en-AU"/>
        </w:rPr>
        <w:t xml:space="preserve">measures likely to have the </w:t>
      </w:r>
      <w:r w:rsidR="00827B80" w:rsidRPr="00AA50BB">
        <w:rPr>
          <w:lang w:val="en-AU"/>
        </w:rPr>
        <w:lastRenderedPageBreak/>
        <w:t xml:space="preserve">greatest impact on food safety outcomes. </w:t>
      </w:r>
      <w:r w:rsidR="00827B80" w:rsidRPr="007C5D42">
        <w:rPr>
          <w:rFonts w:cs="Arial"/>
          <w:szCs w:val="22"/>
        </w:rPr>
        <w:t>Consultation activities</w:t>
      </w:r>
      <w:r w:rsidR="00827B80" w:rsidRPr="007C5D42">
        <w:rPr>
          <w:rStyle w:val="FootnoteReference"/>
          <w:rFonts w:cs="Arial"/>
          <w:szCs w:val="22"/>
        </w:rPr>
        <w:footnoteReference w:id="18"/>
      </w:r>
      <w:r w:rsidR="00827B80" w:rsidRPr="007C5D42">
        <w:rPr>
          <w:rFonts w:cs="Arial"/>
          <w:szCs w:val="22"/>
        </w:rPr>
        <w:t xml:space="preserve"> </w:t>
      </w:r>
      <w:r w:rsidR="00827B80">
        <w:rPr>
          <w:rFonts w:cs="Arial"/>
          <w:szCs w:val="22"/>
        </w:rPr>
        <w:t xml:space="preserve">FSANZ </w:t>
      </w:r>
      <w:r w:rsidR="00827B80" w:rsidRPr="007C5D42">
        <w:rPr>
          <w:rFonts w:cs="Arial"/>
          <w:szCs w:val="22"/>
        </w:rPr>
        <w:t xml:space="preserve">conducted </w:t>
      </w:r>
      <w:r w:rsidR="00827B80">
        <w:rPr>
          <w:rFonts w:cs="Arial"/>
          <w:szCs w:val="22"/>
        </w:rPr>
        <w:t>through</w:t>
      </w:r>
      <w:r w:rsidR="00827B80" w:rsidRPr="007C5D42">
        <w:rPr>
          <w:rFonts w:cs="Arial"/>
          <w:szCs w:val="22"/>
        </w:rPr>
        <w:t xml:space="preserve"> this proposal </w:t>
      </w:r>
      <w:r w:rsidR="00827B80">
        <w:rPr>
          <w:rFonts w:cs="Arial"/>
          <w:szCs w:val="22"/>
        </w:rPr>
        <w:t xml:space="preserve">(see </w:t>
      </w:r>
      <w:r w:rsidR="00827B80" w:rsidRPr="009F4F42">
        <w:rPr>
          <w:rFonts w:cs="Arial"/>
          <w:szCs w:val="22"/>
        </w:rPr>
        <w:t xml:space="preserve">section </w:t>
      </w:r>
      <w:r w:rsidR="009F4F42" w:rsidRPr="00DC2A92">
        <w:rPr>
          <w:rFonts w:cs="Arial"/>
          <w:szCs w:val="22"/>
        </w:rPr>
        <w:t>5</w:t>
      </w:r>
      <w:r w:rsidR="00827B80" w:rsidRPr="00DC2A92">
        <w:rPr>
          <w:rFonts w:cs="Arial"/>
          <w:szCs w:val="22"/>
        </w:rPr>
        <w:t>.1</w:t>
      </w:r>
      <w:r w:rsidR="00827B80" w:rsidRPr="009F4F42">
        <w:rPr>
          <w:rFonts w:cs="Arial"/>
          <w:szCs w:val="22"/>
        </w:rPr>
        <w:t>)</w:t>
      </w:r>
      <w:r w:rsidR="00827B80">
        <w:rPr>
          <w:rFonts w:cs="Arial"/>
          <w:szCs w:val="22"/>
        </w:rPr>
        <w:t xml:space="preserve"> </w:t>
      </w:r>
      <w:r w:rsidR="00827B80" w:rsidRPr="007C5D42">
        <w:rPr>
          <w:rFonts w:cs="Arial"/>
          <w:szCs w:val="22"/>
        </w:rPr>
        <w:t>indicate</w:t>
      </w:r>
      <w:r w:rsidR="00827B80">
        <w:rPr>
          <w:rFonts w:cs="Arial"/>
          <w:szCs w:val="22"/>
        </w:rPr>
        <w:t xml:space="preserve"> </w:t>
      </w:r>
      <w:r w:rsidR="009F24F6">
        <w:rPr>
          <w:rFonts w:cs="Arial"/>
          <w:szCs w:val="22"/>
        </w:rPr>
        <w:t xml:space="preserve">government </w:t>
      </w:r>
      <w:r w:rsidR="00827B80">
        <w:rPr>
          <w:rFonts w:cs="Arial"/>
          <w:szCs w:val="22"/>
        </w:rPr>
        <w:t xml:space="preserve">stakeholders </w:t>
      </w:r>
      <w:r w:rsidR="009F24F6">
        <w:rPr>
          <w:rFonts w:cs="Arial"/>
          <w:szCs w:val="22"/>
        </w:rPr>
        <w:t>strongly support</w:t>
      </w:r>
      <w:r w:rsidR="008B43D1" w:rsidRPr="00AA50BB">
        <w:rPr>
          <w:lang w:val="en-AU"/>
        </w:rPr>
        <w:t xml:space="preserve"> mandating a package of regulatory measures in the Code</w:t>
      </w:r>
      <w:r w:rsidR="00827B80">
        <w:rPr>
          <w:lang w:val="en-AU"/>
        </w:rPr>
        <w:t xml:space="preserve">. </w:t>
      </w:r>
      <w:r w:rsidR="009F24F6">
        <w:rPr>
          <w:rFonts w:cs="Arial"/>
          <w:szCs w:val="22"/>
        </w:rPr>
        <w:t xml:space="preserve">Industry </w:t>
      </w:r>
      <w:r w:rsidR="000D591C">
        <w:rPr>
          <w:rFonts w:cs="Arial"/>
          <w:szCs w:val="22"/>
        </w:rPr>
        <w:t>stakeholders are</w:t>
      </w:r>
      <w:r w:rsidR="009F24F6">
        <w:rPr>
          <w:rFonts w:cs="Arial"/>
          <w:szCs w:val="22"/>
        </w:rPr>
        <w:t xml:space="preserve"> </w:t>
      </w:r>
      <w:r w:rsidR="00934CFC">
        <w:rPr>
          <w:rFonts w:cs="Arial"/>
          <w:szCs w:val="22"/>
        </w:rPr>
        <w:t xml:space="preserve">also </w:t>
      </w:r>
      <w:r w:rsidR="009F24F6">
        <w:rPr>
          <w:rFonts w:cs="Arial"/>
          <w:szCs w:val="22"/>
        </w:rPr>
        <w:t>supportive of</w:t>
      </w:r>
      <w:r w:rsidR="00934CFC">
        <w:rPr>
          <w:rFonts w:cs="Arial"/>
          <w:szCs w:val="22"/>
        </w:rPr>
        <w:t xml:space="preserve"> tools to strengthen</w:t>
      </w:r>
      <w:r w:rsidR="009F24F6">
        <w:rPr>
          <w:rFonts w:cs="Arial"/>
          <w:szCs w:val="22"/>
        </w:rPr>
        <w:t xml:space="preserve"> food safety management</w:t>
      </w:r>
      <w:r w:rsidR="000D591C">
        <w:rPr>
          <w:rFonts w:cs="Arial"/>
          <w:szCs w:val="22"/>
        </w:rPr>
        <w:t>,</w:t>
      </w:r>
      <w:r>
        <w:rPr>
          <w:rFonts w:cs="Arial"/>
          <w:szCs w:val="22"/>
        </w:rPr>
        <w:t xml:space="preserve"> while not adding additional burden</w:t>
      </w:r>
      <w:r w:rsidR="00934CFC">
        <w:rPr>
          <w:rFonts w:cs="Arial"/>
          <w:szCs w:val="22"/>
        </w:rPr>
        <w:t>.</w:t>
      </w:r>
      <w:r w:rsidR="009F24F6">
        <w:rPr>
          <w:rFonts w:cs="Arial"/>
          <w:szCs w:val="22"/>
        </w:rPr>
        <w:t xml:space="preserve"> </w:t>
      </w:r>
    </w:p>
    <w:p w14:paraId="5725BD8F" w14:textId="77777777" w:rsidR="009F24F6" w:rsidRDefault="009F24F6" w:rsidP="009F24F6">
      <w:pPr>
        <w:rPr>
          <w:rFonts w:cs="Arial"/>
          <w:szCs w:val="22"/>
        </w:rPr>
      </w:pPr>
    </w:p>
    <w:p w14:paraId="576421F5" w14:textId="2674D88B" w:rsidR="008B43D1" w:rsidRDefault="00E515FD" w:rsidP="008B43D1">
      <w:pPr>
        <w:rPr>
          <w:lang w:val="en-AU"/>
        </w:rPr>
      </w:pPr>
      <w:r>
        <w:rPr>
          <w:lang w:val="en-AU"/>
        </w:rPr>
        <w:t>Stakeholders raised the</w:t>
      </w:r>
      <w:r w:rsidR="008B43D1" w:rsidRPr="00AA50BB">
        <w:rPr>
          <w:lang w:val="en-AU"/>
        </w:rPr>
        <w:t xml:space="preserve"> following </w:t>
      </w:r>
      <w:r w:rsidR="00827B80">
        <w:rPr>
          <w:lang w:val="en-AU"/>
        </w:rPr>
        <w:t>key considerations</w:t>
      </w:r>
      <w:r w:rsidR="008B43D1" w:rsidRPr="00AA50BB">
        <w:rPr>
          <w:lang w:val="en-AU"/>
        </w:rPr>
        <w:t>:</w:t>
      </w:r>
    </w:p>
    <w:p w14:paraId="62914D33" w14:textId="77777777" w:rsidR="00827B80" w:rsidRPr="00AA50BB" w:rsidRDefault="00827B80" w:rsidP="008B43D1">
      <w:pPr>
        <w:rPr>
          <w:lang w:val="en-AU"/>
        </w:rPr>
      </w:pPr>
    </w:p>
    <w:p w14:paraId="39FC89C7" w14:textId="18A1B890" w:rsidR="008B43D1" w:rsidRDefault="0030704F" w:rsidP="008B43D1">
      <w:pPr>
        <w:pStyle w:val="FSBullet1"/>
        <w:numPr>
          <w:ilvl w:val="0"/>
          <w:numId w:val="29"/>
        </w:numPr>
        <w:spacing w:after="120"/>
        <w:rPr>
          <w:lang w:val="en-AU" w:bidi="en-US"/>
        </w:rPr>
      </w:pPr>
      <w:r>
        <w:rPr>
          <w:lang w:val="en-AU" w:bidi="en-US"/>
        </w:rPr>
        <w:t xml:space="preserve">any </w:t>
      </w:r>
      <w:r w:rsidR="008B43D1">
        <w:rPr>
          <w:lang w:val="en-AU" w:bidi="en-US"/>
        </w:rPr>
        <w:t xml:space="preserve">regulatory measures </w:t>
      </w:r>
      <w:r w:rsidR="00E515FD">
        <w:rPr>
          <w:lang w:val="en-AU" w:bidi="en-US"/>
        </w:rPr>
        <w:t>need to be</w:t>
      </w:r>
      <w:r w:rsidR="008B43D1">
        <w:rPr>
          <w:lang w:val="en-AU" w:bidi="en-US"/>
        </w:rPr>
        <w:t xml:space="preserve"> proportionate to risk</w:t>
      </w:r>
      <w:r>
        <w:rPr>
          <w:lang w:val="en-AU" w:bidi="en-US"/>
        </w:rPr>
        <w:t xml:space="preserve"> with minimal extra burden to industry</w:t>
      </w:r>
    </w:p>
    <w:p w14:paraId="05771FEB" w14:textId="254B33F3" w:rsidR="008B43D1" w:rsidRPr="00AA50BB" w:rsidRDefault="008B43D1" w:rsidP="008B43D1">
      <w:pPr>
        <w:pStyle w:val="FSBullet1"/>
        <w:numPr>
          <w:ilvl w:val="0"/>
          <w:numId w:val="29"/>
        </w:numPr>
        <w:spacing w:after="120"/>
        <w:rPr>
          <w:lang w:val="en-AU" w:bidi="en-US"/>
        </w:rPr>
      </w:pPr>
      <w:r>
        <w:rPr>
          <w:lang w:val="en-AU" w:bidi="en-US"/>
        </w:rPr>
        <w:t>t</w:t>
      </w:r>
      <w:r w:rsidRPr="00AA50BB">
        <w:rPr>
          <w:lang w:val="en-AU" w:bidi="en-US"/>
        </w:rPr>
        <w:t xml:space="preserve">raining for food handlers and FSSs </w:t>
      </w:r>
      <w:r>
        <w:rPr>
          <w:lang w:val="en-AU" w:bidi="en-US"/>
        </w:rPr>
        <w:t xml:space="preserve">needs </w:t>
      </w:r>
      <w:r w:rsidR="00827B80">
        <w:rPr>
          <w:lang w:val="en-AU" w:bidi="en-US"/>
        </w:rPr>
        <w:t xml:space="preserve">to be up-to-date </w:t>
      </w:r>
      <w:r w:rsidRPr="00AA50BB">
        <w:rPr>
          <w:lang w:val="en-AU" w:bidi="en-US"/>
        </w:rPr>
        <w:t xml:space="preserve">and </w:t>
      </w:r>
      <w:r w:rsidR="00827B80">
        <w:rPr>
          <w:lang w:val="en-AU" w:bidi="en-US"/>
        </w:rPr>
        <w:t xml:space="preserve">be offered in a range of formats in recognition of </w:t>
      </w:r>
      <w:r w:rsidRPr="00AA50BB">
        <w:rPr>
          <w:lang w:val="en-AU" w:bidi="en-US"/>
        </w:rPr>
        <w:t xml:space="preserve">the diverse staff working in food service businesses </w:t>
      </w:r>
    </w:p>
    <w:p w14:paraId="46102D9F" w14:textId="25B44010" w:rsidR="008B43D1" w:rsidRPr="00AA50BB" w:rsidRDefault="008B43D1" w:rsidP="008B43D1">
      <w:pPr>
        <w:pStyle w:val="FSBullet1"/>
        <w:numPr>
          <w:ilvl w:val="0"/>
          <w:numId w:val="29"/>
        </w:numPr>
        <w:spacing w:after="120"/>
        <w:rPr>
          <w:lang w:val="en-AU" w:bidi="en-US"/>
        </w:rPr>
      </w:pPr>
      <w:r w:rsidRPr="00AA50BB">
        <w:rPr>
          <w:lang w:val="en-AU" w:bidi="en-US"/>
        </w:rPr>
        <w:t>the quality of training provided</w:t>
      </w:r>
      <w:r w:rsidRPr="00AA50BB" w:rsidDel="009473FD">
        <w:rPr>
          <w:lang w:val="en-AU" w:bidi="en-US"/>
        </w:rPr>
        <w:t xml:space="preserve"> </w:t>
      </w:r>
      <w:r w:rsidRPr="00AA50BB">
        <w:rPr>
          <w:lang w:val="en-AU" w:bidi="en-US"/>
        </w:rPr>
        <w:t>by registered training organisations</w:t>
      </w:r>
      <w:r w:rsidR="00827B80">
        <w:rPr>
          <w:lang w:val="en-AU" w:bidi="en-US"/>
        </w:rPr>
        <w:t xml:space="preserve"> </w:t>
      </w:r>
      <w:r w:rsidR="00E515FD">
        <w:rPr>
          <w:lang w:val="en-AU" w:bidi="en-US"/>
        </w:rPr>
        <w:t>needs to be</w:t>
      </w:r>
      <w:r w:rsidR="00827B80">
        <w:rPr>
          <w:lang w:val="en-AU" w:bidi="en-US"/>
        </w:rPr>
        <w:t xml:space="preserve"> monitored</w:t>
      </w:r>
      <w:r w:rsidRPr="00AA50BB" w:rsidDel="00BE3FDA">
        <w:rPr>
          <w:lang w:val="en-AU" w:bidi="en-US"/>
        </w:rPr>
        <w:t xml:space="preserve"> </w:t>
      </w:r>
    </w:p>
    <w:p w14:paraId="75B30FE4" w14:textId="72A3E621" w:rsidR="008B43D1" w:rsidRPr="00AA50BB" w:rsidRDefault="008B43D1" w:rsidP="008B43D1">
      <w:pPr>
        <w:pStyle w:val="FSBullet1"/>
        <w:numPr>
          <w:ilvl w:val="0"/>
          <w:numId w:val="29"/>
        </w:numPr>
        <w:spacing w:after="120"/>
        <w:rPr>
          <w:lang w:val="en-AU" w:bidi="en-US"/>
        </w:rPr>
      </w:pPr>
      <w:r w:rsidRPr="00AA50BB">
        <w:rPr>
          <w:lang w:val="en-AU" w:bidi="en-US"/>
        </w:rPr>
        <w:t>simple templates</w:t>
      </w:r>
      <w:r w:rsidRPr="00AA50BB" w:rsidDel="00971811">
        <w:rPr>
          <w:lang w:val="en-AU" w:bidi="en-US"/>
        </w:rPr>
        <w:t xml:space="preserve"> </w:t>
      </w:r>
      <w:r w:rsidR="00E515FD">
        <w:rPr>
          <w:lang w:val="en-AU" w:bidi="en-US"/>
        </w:rPr>
        <w:t xml:space="preserve">should be </w:t>
      </w:r>
      <w:r w:rsidR="00B53DF6">
        <w:rPr>
          <w:lang w:val="en-AU" w:bidi="en-US"/>
        </w:rPr>
        <w:t>available to support</w:t>
      </w:r>
      <w:r w:rsidRPr="00AA50BB">
        <w:rPr>
          <w:lang w:val="en-AU" w:bidi="en-US"/>
        </w:rPr>
        <w:t xml:space="preserve"> evidence-keeping measures</w:t>
      </w:r>
      <w:r w:rsidR="001F4646">
        <w:rPr>
          <w:lang w:val="en-AU" w:bidi="en-US"/>
        </w:rPr>
        <w:t xml:space="preserve">; </w:t>
      </w:r>
      <w:r w:rsidR="00FC7531">
        <w:rPr>
          <w:lang w:val="en-AU" w:bidi="en-US"/>
        </w:rPr>
        <w:t>and</w:t>
      </w:r>
      <w:r w:rsidRPr="00AA50BB" w:rsidDel="00091BD8">
        <w:rPr>
          <w:lang w:val="en-AU" w:bidi="en-US"/>
        </w:rPr>
        <w:t xml:space="preserve"> </w:t>
      </w:r>
    </w:p>
    <w:p w14:paraId="71758394" w14:textId="1C3BCFAF" w:rsidR="008B43D1" w:rsidRPr="00AA50BB" w:rsidRDefault="008B43D1" w:rsidP="008B43D1">
      <w:pPr>
        <w:pStyle w:val="FSBullet1"/>
        <w:numPr>
          <w:ilvl w:val="0"/>
          <w:numId w:val="29"/>
        </w:numPr>
        <w:spacing w:after="120"/>
        <w:rPr>
          <w:lang w:val="en-AU" w:bidi="en-US"/>
        </w:rPr>
      </w:pPr>
      <w:r>
        <w:rPr>
          <w:lang w:val="en-AU" w:bidi="en-US"/>
        </w:rPr>
        <w:t>n</w:t>
      </w:r>
      <w:r w:rsidRPr="00AA50BB">
        <w:rPr>
          <w:lang w:val="en-AU" w:bidi="en-US"/>
        </w:rPr>
        <w:t xml:space="preserve">on-regulatory tools </w:t>
      </w:r>
      <w:r w:rsidR="00E515FD">
        <w:rPr>
          <w:lang w:val="en-AU" w:bidi="en-US"/>
        </w:rPr>
        <w:t>should be</w:t>
      </w:r>
      <w:r w:rsidR="00827B80">
        <w:rPr>
          <w:lang w:val="en-AU" w:bidi="en-US"/>
        </w:rPr>
        <w:t xml:space="preserve"> developed to</w:t>
      </w:r>
      <w:r w:rsidRPr="00AA50BB">
        <w:rPr>
          <w:lang w:val="en-AU" w:bidi="en-US"/>
        </w:rPr>
        <w:t xml:space="preserve"> support regulatory tools.</w:t>
      </w:r>
      <w:r w:rsidRPr="00AA50BB" w:rsidDel="00971811">
        <w:rPr>
          <w:lang w:val="en-AU" w:bidi="en-US"/>
        </w:rPr>
        <w:t xml:space="preserve"> </w:t>
      </w:r>
    </w:p>
    <w:p w14:paraId="27545D18" w14:textId="4604E668" w:rsidR="00E74061" w:rsidRDefault="00E4793B" w:rsidP="00D830D4">
      <w:pPr>
        <w:pStyle w:val="Heading2"/>
        <w:ind w:left="567"/>
      </w:pPr>
      <w:bookmarkStart w:id="38" w:name="_Toc175381442"/>
      <w:bookmarkStart w:id="39" w:name="_Toc286391010"/>
      <w:bookmarkStart w:id="40" w:name="_Toc300933426"/>
      <w:bookmarkStart w:id="41" w:name="_Toc94172657"/>
      <w:bookmarkStart w:id="42" w:name="_Toc300761910"/>
      <w:bookmarkEnd w:id="16"/>
      <w:bookmarkEnd w:id="38"/>
      <w:bookmarkEnd w:id="39"/>
      <w:bookmarkEnd w:id="40"/>
      <w:r>
        <w:t>Risk m</w:t>
      </w:r>
      <w:r w:rsidR="00E74061">
        <w:t>anagement options</w:t>
      </w:r>
      <w:bookmarkEnd w:id="41"/>
    </w:p>
    <w:p w14:paraId="08C5000D" w14:textId="45FE0045" w:rsidR="00940DC7" w:rsidRDefault="005F4F6D" w:rsidP="00596C76">
      <w:r>
        <w:t>The</w:t>
      </w:r>
      <w:r w:rsidR="00835AD1">
        <w:t xml:space="preserve"> </w:t>
      </w:r>
      <w:r w:rsidR="00B90694">
        <w:t xml:space="preserve">risk management </w:t>
      </w:r>
      <w:r w:rsidR="00596C76" w:rsidRPr="00A41684">
        <w:t xml:space="preserve">options </w:t>
      </w:r>
      <w:r w:rsidR="00B90694">
        <w:t>FSANZ</w:t>
      </w:r>
      <w:r w:rsidR="00940DC7">
        <w:t xml:space="preserve"> </w:t>
      </w:r>
      <w:r w:rsidR="00835AD1">
        <w:t xml:space="preserve">considered </w:t>
      </w:r>
      <w:r w:rsidR="00940DC7">
        <w:t>are:</w:t>
      </w:r>
      <w:r w:rsidR="00940DC7" w:rsidRPr="00A41684">
        <w:t xml:space="preserve"> </w:t>
      </w:r>
    </w:p>
    <w:p w14:paraId="7434EC30" w14:textId="6214DAC6" w:rsidR="00940DC7" w:rsidRDefault="00FE78BC" w:rsidP="00FE78BC">
      <w:pPr>
        <w:pStyle w:val="FSBullet1"/>
        <w:numPr>
          <w:ilvl w:val="0"/>
          <w:numId w:val="0"/>
        </w:numPr>
        <w:ind w:left="360" w:hanging="360"/>
      </w:pPr>
      <w:r w:rsidRPr="00557EFA">
        <w:rPr>
          <w:b/>
          <w:i/>
        </w:rPr>
        <w:t>Option 1</w:t>
      </w:r>
      <w:r>
        <w:t xml:space="preserve">: </w:t>
      </w:r>
      <w:r w:rsidR="00596C76">
        <w:t>the status quo</w:t>
      </w:r>
    </w:p>
    <w:p w14:paraId="5519D224" w14:textId="1008ED5F" w:rsidR="00557EFA" w:rsidRPr="00557EFA" w:rsidRDefault="00557EFA" w:rsidP="00557EFA">
      <w:pPr>
        <w:rPr>
          <w:lang w:bidi="ar-SA"/>
        </w:rPr>
      </w:pPr>
      <w:r w:rsidRPr="00557EFA">
        <w:rPr>
          <w:b/>
          <w:i/>
          <w:lang w:bidi="ar-SA"/>
        </w:rPr>
        <w:t>Option 2</w:t>
      </w:r>
      <w:r>
        <w:rPr>
          <w:lang w:bidi="ar-SA"/>
        </w:rPr>
        <w:t xml:space="preserve">: </w:t>
      </w:r>
      <w:r w:rsidR="00666322">
        <w:rPr>
          <w:lang w:bidi="ar-SA"/>
        </w:rPr>
        <w:t>self-regulation</w:t>
      </w:r>
    </w:p>
    <w:p w14:paraId="68D8BAA6" w14:textId="6205C063" w:rsidR="00940DC7" w:rsidRDefault="00FE78BC" w:rsidP="008C640B">
      <w:pPr>
        <w:pStyle w:val="FSBullet1"/>
        <w:numPr>
          <w:ilvl w:val="0"/>
          <w:numId w:val="0"/>
        </w:numPr>
        <w:ind w:left="360" w:hanging="360"/>
      </w:pPr>
      <w:r w:rsidRPr="00557EFA">
        <w:rPr>
          <w:b/>
          <w:i/>
        </w:rPr>
        <w:t xml:space="preserve">Option </w:t>
      </w:r>
      <w:r w:rsidR="00557EFA">
        <w:rPr>
          <w:b/>
          <w:i/>
        </w:rPr>
        <w:t>3</w:t>
      </w:r>
      <w:r>
        <w:t xml:space="preserve">: </w:t>
      </w:r>
      <w:r w:rsidR="008C640B">
        <w:t>regulatory approach</w:t>
      </w:r>
    </w:p>
    <w:p w14:paraId="775B26E1" w14:textId="3FFF9686" w:rsidR="00FE78BC" w:rsidRDefault="00FE78BC" w:rsidP="00FE78BC">
      <w:pPr>
        <w:ind w:left="1134"/>
        <w:rPr>
          <w:lang w:bidi="ar-SA"/>
        </w:rPr>
      </w:pPr>
      <w:r w:rsidRPr="00557EFA">
        <w:rPr>
          <w:b/>
          <w:i/>
          <w:lang w:bidi="ar-SA"/>
        </w:rPr>
        <w:t>Option 3.1</w:t>
      </w:r>
      <w:r>
        <w:rPr>
          <w:lang w:bidi="ar-SA"/>
        </w:rPr>
        <w:t xml:space="preserve">: </w:t>
      </w:r>
      <w:r w:rsidR="00557EFA">
        <w:rPr>
          <w:lang w:bidi="ar-SA"/>
        </w:rPr>
        <w:t>FSS</w:t>
      </w:r>
      <w:r w:rsidR="00C43892">
        <w:rPr>
          <w:lang w:bidi="ar-SA"/>
        </w:rPr>
        <w:t xml:space="preserve"> and </w:t>
      </w:r>
      <w:r w:rsidR="00557EFA">
        <w:rPr>
          <w:lang w:bidi="ar-SA"/>
        </w:rPr>
        <w:t>FHT</w:t>
      </w:r>
    </w:p>
    <w:p w14:paraId="583AB722" w14:textId="737C8098" w:rsidR="00FE78BC" w:rsidRPr="00FE78BC" w:rsidRDefault="00FE78BC" w:rsidP="008E09D5">
      <w:pPr>
        <w:ind w:left="1134"/>
        <w:rPr>
          <w:lang w:bidi="ar-SA"/>
        </w:rPr>
      </w:pPr>
      <w:r w:rsidRPr="00557EFA">
        <w:rPr>
          <w:b/>
          <w:i/>
          <w:lang w:bidi="ar-SA"/>
        </w:rPr>
        <w:t>Option 3.2</w:t>
      </w:r>
      <w:r>
        <w:rPr>
          <w:lang w:bidi="ar-SA"/>
        </w:rPr>
        <w:t>:</w:t>
      </w:r>
      <w:r w:rsidR="00557EFA">
        <w:rPr>
          <w:lang w:bidi="ar-SA"/>
        </w:rPr>
        <w:t xml:space="preserve"> FSS, FHT</w:t>
      </w:r>
      <w:r w:rsidR="00C43892">
        <w:rPr>
          <w:lang w:bidi="ar-SA"/>
        </w:rPr>
        <w:t xml:space="preserve"> and</w:t>
      </w:r>
      <w:r w:rsidR="00557EFA">
        <w:rPr>
          <w:lang w:bidi="ar-SA"/>
        </w:rPr>
        <w:t xml:space="preserve"> E</w:t>
      </w:r>
      <w:r w:rsidR="00C43892">
        <w:rPr>
          <w:lang w:bidi="ar-SA"/>
        </w:rPr>
        <w:t>.</w:t>
      </w:r>
    </w:p>
    <w:p w14:paraId="23455581" w14:textId="7AC9A798" w:rsidR="00596C76" w:rsidRDefault="00596C76">
      <w:pPr>
        <w:pStyle w:val="FSBullet1"/>
        <w:numPr>
          <w:ilvl w:val="0"/>
          <w:numId w:val="0"/>
        </w:numPr>
      </w:pPr>
    </w:p>
    <w:p w14:paraId="714C8794" w14:textId="07DD31D0" w:rsidR="00B31DDB" w:rsidRPr="004E059A" w:rsidRDefault="00B31DDB" w:rsidP="00B31DDB">
      <w:pPr>
        <w:rPr>
          <w:lang w:val="en-US"/>
        </w:rPr>
      </w:pPr>
      <w:r>
        <w:rPr>
          <w:lang w:val="en-US"/>
        </w:rPr>
        <w:t xml:space="preserve">FSANZ assessed the extent of foodborne illness linked to food service businesses and identified key food handling activities where food safety needs improvement. </w:t>
      </w:r>
      <w:r w:rsidRPr="004E059A">
        <w:rPr>
          <w:lang w:val="en-US"/>
        </w:rPr>
        <w:t>We considered the impact of additional tools that would improve food safety</w:t>
      </w:r>
      <w:r>
        <w:rPr>
          <w:lang w:val="en-US"/>
        </w:rPr>
        <w:t xml:space="preserve"> during these </w:t>
      </w:r>
      <w:r>
        <w:rPr>
          <w:lang w:val="en-US"/>
        </w:rPr>
        <w:lastRenderedPageBreak/>
        <w:t>food handling activities</w:t>
      </w:r>
      <w:r w:rsidRPr="004E059A">
        <w:rPr>
          <w:lang w:val="en-US"/>
        </w:rPr>
        <w:t xml:space="preserve">. </w:t>
      </w:r>
      <w:r>
        <w:rPr>
          <w:lang w:val="en-US"/>
        </w:rPr>
        <w:t xml:space="preserve">We also </w:t>
      </w:r>
      <w:r w:rsidRPr="004E059A">
        <w:rPr>
          <w:lang w:val="en-US"/>
        </w:rPr>
        <w:t xml:space="preserve">examined </w:t>
      </w:r>
      <w:r>
        <w:rPr>
          <w:lang w:val="en-US"/>
        </w:rPr>
        <w:t xml:space="preserve">national </w:t>
      </w:r>
      <w:r w:rsidRPr="004E059A">
        <w:rPr>
          <w:lang w:val="en-US"/>
        </w:rPr>
        <w:t>food safety requirements and international approaches.</w:t>
      </w:r>
    </w:p>
    <w:p w14:paraId="5F09E331" w14:textId="77777777" w:rsidR="00B31DDB" w:rsidRDefault="00B31DDB" w:rsidP="00596C76"/>
    <w:p w14:paraId="3F4A5577" w14:textId="7EAA1C3A" w:rsidR="00596C76" w:rsidRPr="008B45B2" w:rsidRDefault="00B90694" w:rsidP="00596C76">
      <w:pPr>
        <w:rPr>
          <w:lang w:val="en-US"/>
        </w:rPr>
      </w:pPr>
      <w:r>
        <w:t xml:space="preserve">Our assessment was completed in </w:t>
      </w:r>
      <w:r w:rsidRPr="0063701A">
        <w:t>accordance with the FSANZ Act</w:t>
      </w:r>
      <w:r w:rsidR="00920CA9">
        <w:t xml:space="preserve"> (summarised in section 6)</w:t>
      </w:r>
      <w:r>
        <w:t>.</w:t>
      </w:r>
      <w:r w:rsidR="00617DE4">
        <w:t xml:space="preserve"> </w:t>
      </w:r>
      <w:r w:rsidR="00596C76" w:rsidRPr="0063701A">
        <w:t>Public su</w:t>
      </w:r>
      <w:r w:rsidR="00596C76">
        <w:t>bmissions in response to this</w:t>
      </w:r>
      <w:r w:rsidR="00596C76" w:rsidRPr="0063701A">
        <w:t xml:space="preserve"> </w:t>
      </w:r>
      <w:r w:rsidR="00596C76">
        <w:t xml:space="preserve">report </w:t>
      </w:r>
      <w:r w:rsidR="00596C76" w:rsidRPr="0063701A">
        <w:t xml:space="preserve">will inform our </w:t>
      </w:r>
      <w:r w:rsidR="00596C76">
        <w:t xml:space="preserve">final </w:t>
      </w:r>
      <w:r w:rsidR="00596C76" w:rsidRPr="0063701A">
        <w:t xml:space="preserve">decision </w:t>
      </w:r>
      <w:r w:rsidR="00596C76">
        <w:t xml:space="preserve">on </w:t>
      </w:r>
      <w:r w:rsidR="00596C76" w:rsidRPr="0063701A">
        <w:t>whether to approve</w:t>
      </w:r>
      <w:r w:rsidR="00596C76">
        <w:t xml:space="preserve">, </w:t>
      </w:r>
      <w:r w:rsidR="00596C76" w:rsidRPr="0063701A">
        <w:t xml:space="preserve">amend </w:t>
      </w:r>
      <w:r w:rsidR="00596C76">
        <w:t xml:space="preserve">or abandon </w:t>
      </w:r>
      <w:r w:rsidR="00596C76" w:rsidRPr="0063701A">
        <w:t xml:space="preserve">the </w:t>
      </w:r>
      <w:r w:rsidR="00835AD1">
        <w:t xml:space="preserve">proposed </w:t>
      </w:r>
      <w:r w:rsidR="00596C76" w:rsidRPr="0063701A">
        <w:t>draft amendments to the C</w:t>
      </w:r>
      <w:r w:rsidR="00596C76">
        <w:t xml:space="preserve">ode. </w:t>
      </w:r>
    </w:p>
    <w:p w14:paraId="2DD57E87" w14:textId="1A458D60" w:rsidR="00E74061" w:rsidRPr="00853CBA" w:rsidRDefault="008C640B" w:rsidP="00D830D4">
      <w:pPr>
        <w:pStyle w:val="Heading2"/>
        <w:ind w:left="567"/>
      </w:pPr>
      <w:bookmarkStart w:id="43" w:name="_Toc94172658"/>
      <w:r>
        <w:t>Preferred</w:t>
      </w:r>
      <w:r w:rsidR="00E74061" w:rsidRPr="00853CBA">
        <w:t xml:space="preserve"> approach</w:t>
      </w:r>
      <w:bookmarkEnd w:id="43"/>
    </w:p>
    <w:p w14:paraId="07B63D85" w14:textId="4D29AA96" w:rsidR="00CD7E65" w:rsidRDefault="00CD7E65" w:rsidP="00FF7AEF">
      <w:pPr>
        <w:rPr>
          <w:rFonts w:eastAsiaTheme="minorHAnsi" w:cs="Arial"/>
          <w:szCs w:val="22"/>
        </w:rPr>
      </w:pPr>
      <w:r>
        <w:rPr>
          <w:rFonts w:eastAsiaTheme="minorHAnsi" w:cs="Arial"/>
          <w:szCs w:val="22"/>
        </w:rPr>
        <w:t xml:space="preserve">Currently, there are no nationally consistent </w:t>
      </w:r>
      <w:r w:rsidR="00F300F5">
        <w:rPr>
          <w:rFonts w:eastAsiaTheme="minorHAnsi" w:cs="Arial"/>
          <w:szCs w:val="22"/>
        </w:rPr>
        <w:t>regulatory measures</w:t>
      </w:r>
      <w:r>
        <w:rPr>
          <w:rFonts w:eastAsiaTheme="minorHAnsi" w:cs="Arial"/>
          <w:szCs w:val="22"/>
        </w:rPr>
        <w:t xml:space="preserve"> </w:t>
      </w:r>
      <w:r w:rsidRPr="00D90680">
        <w:rPr>
          <w:rFonts w:eastAsiaTheme="minorHAnsi" w:cs="Arial"/>
          <w:szCs w:val="22"/>
        </w:rPr>
        <w:t xml:space="preserve">for </w:t>
      </w:r>
      <w:r>
        <w:rPr>
          <w:rFonts w:eastAsiaTheme="minorHAnsi" w:cs="Arial"/>
          <w:szCs w:val="22"/>
        </w:rPr>
        <w:t>the priority classified food service and retail sectors</w:t>
      </w:r>
      <w:r w:rsidR="00FC105A">
        <w:rPr>
          <w:rFonts w:eastAsiaTheme="minorHAnsi" w:cs="Arial"/>
          <w:szCs w:val="22"/>
        </w:rPr>
        <w:t xml:space="preserve">. </w:t>
      </w:r>
      <w:r w:rsidRPr="00D90680">
        <w:rPr>
          <w:rFonts w:eastAsiaTheme="minorHAnsi" w:cs="Arial"/>
          <w:szCs w:val="22"/>
        </w:rPr>
        <w:t xml:space="preserve">Chapter 3 of the Code </w:t>
      </w:r>
      <w:r>
        <w:rPr>
          <w:rFonts w:eastAsiaTheme="minorHAnsi" w:cs="Arial"/>
          <w:szCs w:val="22"/>
        </w:rPr>
        <w:t>applies broadly to all food businesses</w:t>
      </w:r>
      <w:r w:rsidR="00FC105A">
        <w:rPr>
          <w:rFonts w:eastAsiaTheme="minorHAnsi" w:cs="Arial"/>
          <w:szCs w:val="22"/>
        </w:rPr>
        <w:t xml:space="preserve">, there is no differentiation of national food safety measures </w:t>
      </w:r>
      <w:r w:rsidR="00A36546">
        <w:rPr>
          <w:rFonts w:eastAsiaTheme="minorHAnsi" w:cs="Arial"/>
          <w:szCs w:val="22"/>
        </w:rPr>
        <w:t>to</w:t>
      </w:r>
      <w:r w:rsidR="00FF7AEF">
        <w:rPr>
          <w:rFonts w:eastAsiaTheme="minorHAnsi" w:cs="Arial"/>
          <w:szCs w:val="22"/>
        </w:rPr>
        <w:t xml:space="preserve"> adequately address the unique risks associated with these sectors</w:t>
      </w:r>
      <w:r w:rsidR="00F300F5">
        <w:rPr>
          <w:rFonts w:eastAsiaTheme="minorHAnsi" w:cs="Arial"/>
          <w:szCs w:val="22"/>
        </w:rPr>
        <w:t xml:space="preserve"> (section 2 of this report)</w:t>
      </w:r>
      <w:r>
        <w:rPr>
          <w:rFonts w:eastAsiaTheme="minorHAnsi" w:cs="Arial"/>
          <w:szCs w:val="22"/>
        </w:rPr>
        <w:t>.</w:t>
      </w:r>
      <w:r w:rsidRPr="00D90680">
        <w:rPr>
          <w:rFonts w:eastAsiaTheme="minorHAnsi" w:cs="Arial"/>
          <w:szCs w:val="22"/>
        </w:rPr>
        <w:t xml:space="preserve"> </w:t>
      </w:r>
      <w:r w:rsidR="00FC105A" w:rsidRPr="00FF7AEF">
        <w:rPr>
          <w:rFonts w:eastAsiaTheme="minorHAnsi" w:cs="Arial"/>
          <w:szCs w:val="22"/>
        </w:rPr>
        <w:t>Given</w:t>
      </w:r>
      <w:r w:rsidR="00FC105A">
        <w:rPr>
          <w:rFonts w:eastAsiaTheme="minorHAnsi" w:cs="Arial"/>
          <w:szCs w:val="22"/>
        </w:rPr>
        <w:t xml:space="preserve"> the</w:t>
      </w:r>
      <w:r w:rsidR="00FC105A" w:rsidRPr="00FF7AEF">
        <w:rPr>
          <w:rFonts w:eastAsiaTheme="minorHAnsi" w:cs="Arial"/>
          <w:szCs w:val="22"/>
        </w:rPr>
        <w:t xml:space="preserve"> inciden</w:t>
      </w:r>
      <w:r w:rsidR="00FC105A">
        <w:rPr>
          <w:rFonts w:eastAsiaTheme="minorHAnsi" w:cs="Arial"/>
          <w:szCs w:val="22"/>
        </w:rPr>
        <w:t>ce</w:t>
      </w:r>
      <w:r w:rsidR="00FC105A" w:rsidRPr="00FF7AEF">
        <w:rPr>
          <w:rFonts w:eastAsiaTheme="minorHAnsi" w:cs="Arial"/>
          <w:szCs w:val="22"/>
        </w:rPr>
        <w:t xml:space="preserve"> of</w:t>
      </w:r>
      <w:r w:rsidR="00FC105A">
        <w:rPr>
          <w:rFonts w:eastAsiaTheme="minorHAnsi" w:cs="Arial"/>
          <w:szCs w:val="22"/>
        </w:rPr>
        <w:t>,</w:t>
      </w:r>
      <w:r w:rsidR="00FC105A" w:rsidRPr="00FF7AEF">
        <w:rPr>
          <w:rFonts w:eastAsiaTheme="minorHAnsi" w:cs="Arial"/>
          <w:szCs w:val="22"/>
        </w:rPr>
        <w:t xml:space="preserve"> and costs associa</w:t>
      </w:r>
      <w:r w:rsidR="00FC105A">
        <w:rPr>
          <w:rFonts w:eastAsiaTheme="minorHAnsi" w:cs="Arial"/>
          <w:szCs w:val="22"/>
        </w:rPr>
        <w:t>ted with, foodborne illness</w:t>
      </w:r>
      <w:r w:rsidR="00FC105A" w:rsidRPr="00FF7AEF">
        <w:rPr>
          <w:rFonts w:eastAsiaTheme="minorHAnsi" w:cs="Arial"/>
          <w:szCs w:val="22"/>
        </w:rPr>
        <w:t xml:space="preserve"> linked to these businesses, additional requirements over and above those in Chap</w:t>
      </w:r>
      <w:r w:rsidR="00FC105A">
        <w:rPr>
          <w:rFonts w:eastAsiaTheme="minorHAnsi" w:cs="Arial"/>
          <w:szCs w:val="22"/>
        </w:rPr>
        <w:t xml:space="preserve">ter </w:t>
      </w:r>
      <w:r w:rsidR="00FC105A" w:rsidRPr="00FF7AEF">
        <w:rPr>
          <w:rFonts w:eastAsiaTheme="minorHAnsi" w:cs="Arial"/>
          <w:szCs w:val="22"/>
        </w:rPr>
        <w:t>3 is warranted.</w:t>
      </w:r>
      <w:r w:rsidR="00FC105A">
        <w:rPr>
          <w:rFonts w:eastAsiaTheme="minorHAnsi" w:cs="Arial"/>
          <w:szCs w:val="22"/>
        </w:rPr>
        <w:t xml:space="preserve"> </w:t>
      </w:r>
    </w:p>
    <w:p w14:paraId="7A6BBEE6" w14:textId="0CB71648" w:rsidR="00FF7AEF" w:rsidRDefault="00FF7AEF" w:rsidP="00FF7AEF">
      <w:pPr>
        <w:rPr>
          <w:rFonts w:eastAsiaTheme="minorHAnsi" w:cs="Arial"/>
          <w:szCs w:val="22"/>
        </w:rPr>
      </w:pPr>
    </w:p>
    <w:p w14:paraId="6FAEAD87" w14:textId="3076D580" w:rsidR="00CD7E65" w:rsidRDefault="00B31DDB" w:rsidP="00E35BEE">
      <w:r>
        <w:t xml:space="preserve">Australian </w:t>
      </w:r>
      <w:r w:rsidR="00552FED">
        <w:t>jurisdictions</w:t>
      </w:r>
      <w:r>
        <w:t xml:space="preserve"> with additional requirements to support safe food handling (i.e. food safety supervisor and/or additional food handler training), have seen improved food safety behaviours (SD1). These states have supporting resources available to implement these tools that would readily apply nationally.</w:t>
      </w:r>
    </w:p>
    <w:p w14:paraId="4626C213" w14:textId="77777777" w:rsidR="00A36546" w:rsidRDefault="00A36546" w:rsidP="00E35BEE"/>
    <w:p w14:paraId="4B30DD82" w14:textId="519259C1" w:rsidR="008C640B" w:rsidRDefault="00E35BEE" w:rsidP="00E35BEE">
      <w:r>
        <w:t xml:space="preserve">Our preferred approach is to amend the Code to require </w:t>
      </w:r>
      <w:r w:rsidR="00C43892">
        <w:t>FSS</w:t>
      </w:r>
      <w:r>
        <w:t xml:space="preserve">, </w:t>
      </w:r>
      <w:r w:rsidR="0066158B">
        <w:t>FHT</w:t>
      </w:r>
      <w:r>
        <w:t xml:space="preserve"> and </w:t>
      </w:r>
      <w:r w:rsidR="0048695E">
        <w:t>evidence to substantiate food safety management</w:t>
      </w:r>
      <w:r>
        <w:t xml:space="preserve"> for particular business types</w:t>
      </w:r>
      <w:r w:rsidR="00973D6F">
        <w:t xml:space="preserve"> (Category 1 and 2 businesses)</w:t>
      </w:r>
      <w:r>
        <w:t>.</w:t>
      </w:r>
      <w:r w:rsidR="008C640B">
        <w:t xml:space="preserve"> </w:t>
      </w:r>
      <w:r w:rsidR="00F84A9E">
        <w:t xml:space="preserve">The status quo, and therefore a </w:t>
      </w:r>
      <w:r w:rsidR="008C640B">
        <w:t>non-regulatory approach</w:t>
      </w:r>
      <w:r w:rsidR="00F84A9E">
        <w:t>,</w:t>
      </w:r>
      <w:r w:rsidR="008C640B">
        <w:t xml:space="preserve"> is considered the preferred option for Category 3 businesses.</w:t>
      </w:r>
    </w:p>
    <w:p w14:paraId="6D3F2343" w14:textId="77777777" w:rsidR="008C640B" w:rsidRDefault="008C640B" w:rsidP="00E35BEE"/>
    <w:p w14:paraId="3301C67D" w14:textId="78A077D8" w:rsidR="002161F3" w:rsidRDefault="008C640B" w:rsidP="002161F3">
      <w:pPr>
        <w:rPr>
          <w:rFonts w:cs="Arial"/>
          <w:szCs w:val="22"/>
        </w:rPr>
      </w:pPr>
      <w:r>
        <w:t>Where we are proposing a regulatory approach, w</w:t>
      </w:r>
      <w:r w:rsidR="00E35BEE">
        <w:t xml:space="preserve">e have concluded that a </w:t>
      </w:r>
      <w:r>
        <w:t>targeted</w:t>
      </w:r>
      <w:r w:rsidR="00E35BEE">
        <w:t xml:space="preserve"> approach based on food safety </w:t>
      </w:r>
      <w:r w:rsidR="002161F3" w:rsidRPr="00854149">
        <w:rPr>
          <w:rFonts w:cs="Arial"/>
          <w:szCs w:val="22"/>
        </w:rPr>
        <w:t>risk, cost-benefit, and appropriateness</w:t>
      </w:r>
      <w:r w:rsidR="00E35BEE">
        <w:rPr>
          <w:rFonts w:cs="Arial"/>
          <w:szCs w:val="22"/>
        </w:rPr>
        <w:t xml:space="preserve"> is warranted</w:t>
      </w:r>
      <w:r w:rsidR="002161F3" w:rsidRPr="00B31DDB">
        <w:rPr>
          <w:rFonts w:cs="Arial"/>
          <w:szCs w:val="22"/>
        </w:rPr>
        <w:t>.</w:t>
      </w:r>
      <w:r w:rsidR="0066158B" w:rsidRPr="00B31DDB">
        <w:rPr>
          <w:rFonts w:cs="Arial"/>
          <w:szCs w:val="22"/>
        </w:rPr>
        <w:t xml:space="preserve"> This approach </w:t>
      </w:r>
      <w:r w:rsidR="00B31DDB" w:rsidRPr="00FF7AEF">
        <w:rPr>
          <w:rFonts w:eastAsiaTheme="minorHAnsi" w:cs="Arial"/>
          <w:szCs w:val="22"/>
        </w:rPr>
        <w:t xml:space="preserve">identifies which tools would improve </w:t>
      </w:r>
      <w:r w:rsidR="00B31DDB">
        <w:rPr>
          <w:rFonts w:eastAsiaTheme="minorHAnsi" w:cs="Arial"/>
          <w:szCs w:val="22"/>
        </w:rPr>
        <w:t xml:space="preserve">food </w:t>
      </w:r>
      <w:r w:rsidR="00B31DDB" w:rsidRPr="00FF7AEF">
        <w:rPr>
          <w:rFonts w:eastAsiaTheme="minorHAnsi" w:cs="Arial"/>
          <w:szCs w:val="22"/>
        </w:rPr>
        <w:t>handling practices of different business</w:t>
      </w:r>
      <w:r w:rsidR="00B31DDB">
        <w:rPr>
          <w:rFonts w:eastAsiaTheme="minorHAnsi" w:cs="Arial"/>
          <w:szCs w:val="22"/>
        </w:rPr>
        <w:t>,</w:t>
      </w:r>
      <w:r w:rsidR="00B31DDB" w:rsidRPr="00FF7AEF">
        <w:rPr>
          <w:rFonts w:eastAsiaTheme="minorHAnsi" w:cs="Arial"/>
          <w:szCs w:val="22"/>
        </w:rPr>
        <w:t xml:space="preserve"> providing the ability to target</w:t>
      </w:r>
      <w:r w:rsidR="00B31DDB">
        <w:rPr>
          <w:rFonts w:eastAsiaTheme="minorHAnsi" w:cs="Arial"/>
          <w:szCs w:val="22"/>
        </w:rPr>
        <w:t xml:space="preserve"> additional measures where needed and warranted.</w:t>
      </w:r>
      <w:r w:rsidR="0066158B">
        <w:rPr>
          <w:rFonts w:eastAsiaTheme="minorHAnsi" w:cs="Arial"/>
          <w:szCs w:val="22"/>
        </w:rPr>
        <w:t xml:space="preserve"> </w:t>
      </w:r>
      <w:r w:rsidR="002161F3" w:rsidRPr="002161F3">
        <w:rPr>
          <w:rFonts w:cs="Arial"/>
          <w:szCs w:val="22"/>
        </w:rPr>
        <w:t xml:space="preserve">In this way, the regulatory obligations placed on a food business are able to be more proportionately matched to the risk </w:t>
      </w:r>
      <w:r w:rsidR="00835AD1">
        <w:rPr>
          <w:rFonts w:cs="Arial"/>
          <w:szCs w:val="22"/>
        </w:rPr>
        <w:t xml:space="preserve">of </w:t>
      </w:r>
      <w:r w:rsidR="002161F3" w:rsidRPr="002161F3">
        <w:rPr>
          <w:rFonts w:cs="Arial"/>
          <w:szCs w:val="22"/>
        </w:rPr>
        <w:t>the</w:t>
      </w:r>
      <w:r w:rsidR="00835AD1">
        <w:rPr>
          <w:rFonts w:cs="Arial"/>
          <w:szCs w:val="22"/>
        </w:rPr>
        <w:t>ir</w:t>
      </w:r>
      <w:r w:rsidR="002161F3" w:rsidRPr="002161F3">
        <w:rPr>
          <w:rFonts w:cs="Arial"/>
          <w:szCs w:val="22"/>
        </w:rPr>
        <w:t xml:space="preserve"> activities</w:t>
      </w:r>
      <w:r w:rsidR="00931A66">
        <w:rPr>
          <w:rFonts w:cs="Arial"/>
          <w:szCs w:val="22"/>
        </w:rPr>
        <w:t xml:space="preserve">. </w:t>
      </w:r>
    </w:p>
    <w:p w14:paraId="7F249C51" w14:textId="77777777" w:rsidR="00B31DDB" w:rsidRPr="00B31DDB" w:rsidRDefault="00B31DDB" w:rsidP="00B31DDB">
      <w:pPr>
        <w:rPr>
          <w:rFonts w:eastAsiaTheme="minorHAnsi" w:cs="Arial"/>
          <w:szCs w:val="22"/>
        </w:rPr>
      </w:pPr>
    </w:p>
    <w:p w14:paraId="66288B57" w14:textId="04973AA0" w:rsidR="002161F3" w:rsidRPr="00EA0BDC" w:rsidRDefault="002161F3" w:rsidP="002161F3">
      <w:pPr>
        <w:rPr>
          <w:b/>
        </w:rPr>
      </w:pPr>
      <w:r w:rsidRPr="00EA0BDC">
        <w:rPr>
          <w:b/>
        </w:rPr>
        <w:t>Category 1</w:t>
      </w:r>
    </w:p>
    <w:p w14:paraId="3773E21D" w14:textId="6ECF091C" w:rsidR="00B20594" w:rsidRPr="00EA0BDC" w:rsidRDefault="00B20594" w:rsidP="00B20594">
      <w:r w:rsidRPr="00EA0BDC">
        <w:lastRenderedPageBreak/>
        <w:t xml:space="preserve">Food service businesses, such as caterers (onsite and offsite), restaurants, takeaway; and retailers who </w:t>
      </w:r>
      <w:r>
        <w:t>make and serve</w:t>
      </w:r>
      <w:r w:rsidRPr="00EA0BDC">
        <w:t xml:space="preserve"> </w:t>
      </w:r>
      <w:r w:rsidR="00A87E84">
        <w:t>PHF</w:t>
      </w:r>
      <w:r w:rsidRPr="00EA0BDC">
        <w:t xml:space="preserve"> are considered to be Category 1 businesses</w:t>
      </w:r>
      <w:r>
        <w:t xml:space="preserve"> associated with the highest food safety risks</w:t>
      </w:r>
      <w:r w:rsidRPr="00EA0BDC">
        <w:t xml:space="preserve">. </w:t>
      </w:r>
    </w:p>
    <w:p w14:paraId="26FE8651" w14:textId="77777777" w:rsidR="002161F3" w:rsidRDefault="002161F3" w:rsidP="002161F3"/>
    <w:p w14:paraId="0D73A1C1" w14:textId="77777777" w:rsidR="002161F3" w:rsidRPr="00AB43FF" w:rsidRDefault="002161F3" w:rsidP="002161F3">
      <w:r>
        <w:t>C</w:t>
      </w:r>
      <w:r w:rsidRPr="00AB43FF">
        <w:t>haracteristically</w:t>
      </w:r>
      <w:r>
        <w:t>,</w:t>
      </w:r>
      <w:r w:rsidRPr="00AB43FF">
        <w:t xml:space="preserve"> </w:t>
      </w:r>
      <w:r>
        <w:t>t</w:t>
      </w:r>
      <w:r w:rsidRPr="00AB43FF">
        <w:t xml:space="preserve">hese businesses undertake food handling activities that require the most food handling critical controls (five) to produce safe food. There is a strong evidence base for foodborne illness linked to these settings. </w:t>
      </w:r>
    </w:p>
    <w:p w14:paraId="281111CD" w14:textId="77777777" w:rsidR="002161F3" w:rsidRPr="00EA0BDC" w:rsidRDefault="002161F3" w:rsidP="002161F3"/>
    <w:p w14:paraId="31E4B127" w14:textId="542BB1BE" w:rsidR="002161F3" w:rsidRDefault="008F195B" w:rsidP="002161F3">
      <w:pPr>
        <w:shd w:val="clear" w:color="auto" w:fill="FDE9D9" w:themeFill="accent6" w:themeFillTint="33"/>
      </w:pPr>
      <w:r>
        <w:rPr>
          <w:b/>
          <w:i/>
        </w:rPr>
        <w:t xml:space="preserve">Preferred </w:t>
      </w:r>
      <w:r w:rsidR="002161F3" w:rsidRPr="00354C94">
        <w:rPr>
          <w:b/>
          <w:i/>
        </w:rPr>
        <w:t>Option</w:t>
      </w:r>
      <w:r>
        <w:rPr>
          <w:b/>
          <w:i/>
        </w:rPr>
        <w:t>:</w:t>
      </w:r>
      <w:r w:rsidR="002161F3" w:rsidRPr="00354C94">
        <w:rPr>
          <w:b/>
          <w:i/>
        </w:rPr>
        <w:t xml:space="preserve"> </w:t>
      </w:r>
      <w:r w:rsidR="008C640B">
        <w:rPr>
          <w:b/>
          <w:i/>
        </w:rPr>
        <w:t>3</w:t>
      </w:r>
      <w:r w:rsidR="00557EFA">
        <w:rPr>
          <w:b/>
          <w:i/>
        </w:rPr>
        <w:t>.</w:t>
      </w:r>
      <w:r w:rsidR="008E09D5">
        <w:rPr>
          <w:b/>
          <w:i/>
        </w:rPr>
        <w:t>2</w:t>
      </w:r>
      <w:r w:rsidR="002161F3" w:rsidRPr="00354C94">
        <w:rPr>
          <w:b/>
          <w:i/>
        </w:rPr>
        <w:t xml:space="preserve"> </w:t>
      </w:r>
      <w:r w:rsidR="001728A9">
        <w:t>All</w:t>
      </w:r>
      <w:r w:rsidR="001728A9" w:rsidRPr="00EA0BDC">
        <w:t xml:space="preserve"> </w:t>
      </w:r>
      <w:r w:rsidR="002161F3" w:rsidRPr="00EA0BDC">
        <w:t xml:space="preserve">three </w:t>
      </w:r>
      <w:r w:rsidR="002161F3">
        <w:t>food safety management tools (</w:t>
      </w:r>
      <w:r w:rsidR="00835AD1">
        <w:t>FSS, FH</w:t>
      </w:r>
      <w:r w:rsidR="00D354AB">
        <w:t>T</w:t>
      </w:r>
      <w:r w:rsidR="00835AD1">
        <w:t xml:space="preserve"> and E</w:t>
      </w:r>
      <w:r w:rsidR="002161F3">
        <w:t xml:space="preserve">) </w:t>
      </w:r>
      <w:r w:rsidR="002161F3" w:rsidRPr="00EA0BDC">
        <w:t xml:space="preserve">are considered appropriate for these businesses. </w:t>
      </w:r>
      <w:r w:rsidR="002161F3">
        <w:t xml:space="preserve">These tools are considered to be practical, readily implemented in the sector, and able to be maintained over time, and there are existing resources available to support implementation. </w:t>
      </w:r>
    </w:p>
    <w:p w14:paraId="01FFFE20" w14:textId="77777777" w:rsidR="00D354AB" w:rsidRDefault="00D354AB" w:rsidP="002161F3">
      <w:pPr>
        <w:shd w:val="clear" w:color="auto" w:fill="FDE9D9" w:themeFill="accent6" w:themeFillTint="33"/>
      </w:pPr>
    </w:p>
    <w:p w14:paraId="2D6CEA2E" w14:textId="77777777" w:rsidR="002161F3" w:rsidRDefault="002161F3" w:rsidP="002161F3">
      <w:pPr>
        <w:shd w:val="clear" w:color="auto" w:fill="FDE9D9" w:themeFill="accent6" w:themeFillTint="33"/>
      </w:pPr>
      <w:r>
        <w:t xml:space="preserve">Non-regulatory tools that focus on </w:t>
      </w:r>
      <w:r w:rsidRPr="00EA0BDC">
        <w:t>food safety culture and education</w:t>
      </w:r>
      <w:r>
        <w:t xml:space="preserve"> would increase the efficacy of these regulatory measures. </w:t>
      </w:r>
    </w:p>
    <w:p w14:paraId="4660A55A" w14:textId="77777777" w:rsidR="002161F3" w:rsidRDefault="002161F3" w:rsidP="002161F3"/>
    <w:p w14:paraId="04B441D8" w14:textId="77777777" w:rsidR="002161F3" w:rsidRPr="00EA0BDC" w:rsidRDefault="002161F3" w:rsidP="002161F3">
      <w:pPr>
        <w:rPr>
          <w:b/>
        </w:rPr>
      </w:pPr>
      <w:r w:rsidRPr="00EA0BDC">
        <w:rPr>
          <w:b/>
        </w:rPr>
        <w:t>Category 2</w:t>
      </w:r>
    </w:p>
    <w:p w14:paraId="075993CE" w14:textId="1A51BE50" w:rsidR="00B20594" w:rsidRPr="00EA0BDC" w:rsidRDefault="00B20594" w:rsidP="00B20594">
      <w:r w:rsidRPr="00FA4801">
        <w:t xml:space="preserve">Retailers of unpackaged ready-to-eat </w:t>
      </w:r>
      <w:r w:rsidR="00A87E84">
        <w:t>PHF</w:t>
      </w:r>
      <w:r w:rsidRPr="00FA4801">
        <w:t xml:space="preserve"> are </w:t>
      </w:r>
      <w:r>
        <w:t xml:space="preserve">considered </w:t>
      </w:r>
      <w:r w:rsidRPr="00FA4801">
        <w:t xml:space="preserve">in this category. Retailers who only sell pre-packaged food, where the food </w:t>
      </w:r>
      <w:r>
        <w:t>is not</w:t>
      </w:r>
      <w:r w:rsidRPr="00FA4801">
        <w:t xml:space="preserve"> unpackaged at any time during </w:t>
      </w:r>
      <w:r>
        <w:t>handling by</w:t>
      </w:r>
      <w:r w:rsidRPr="00FA4801">
        <w:t xml:space="preserve"> the retailer – are excluded from this category.</w:t>
      </w:r>
    </w:p>
    <w:p w14:paraId="6F806CBF" w14:textId="77777777" w:rsidR="002161F3" w:rsidRPr="00EA0BDC" w:rsidRDefault="002161F3" w:rsidP="002161F3">
      <w:pPr>
        <w:rPr>
          <w:b/>
          <w:i/>
        </w:rPr>
      </w:pPr>
    </w:p>
    <w:p w14:paraId="2CD8D9DE" w14:textId="700D0308" w:rsidR="002161F3" w:rsidRPr="00AB43FF" w:rsidRDefault="001728A9" w:rsidP="002161F3">
      <w:r>
        <w:t xml:space="preserve">Compared to Category 1 businesses, </w:t>
      </w:r>
      <w:r w:rsidR="0080420F">
        <w:t>t</w:t>
      </w:r>
      <w:r>
        <w:t xml:space="preserve">hese businesses have </w:t>
      </w:r>
      <w:r w:rsidR="002161F3" w:rsidRPr="00EA0BDC">
        <w:t>fewer</w:t>
      </w:r>
      <w:r>
        <w:t xml:space="preserve"> </w:t>
      </w:r>
      <w:r w:rsidR="002161F3" w:rsidRPr="00EA0BDC">
        <w:t xml:space="preserve">critical controls required to produce safe food </w:t>
      </w:r>
      <w:r w:rsidR="002161F3">
        <w:t xml:space="preserve">(three) </w:t>
      </w:r>
      <w:r w:rsidR="002161F3" w:rsidRPr="00EA0BDC">
        <w:t xml:space="preserve">and </w:t>
      </w:r>
      <w:r w:rsidR="002161F3" w:rsidRPr="00AB43FF">
        <w:t xml:space="preserve">less evidence of foodborne illness linked to these settings. </w:t>
      </w:r>
    </w:p>
    <w:p w14:paraId="162AE481" w14:textId="77777777" w:rsidR="002161F3" w:rsidRPr="00EA0BDC" w:rsidRDefault="002161F3" w:rsidP="002161F3">
      <w:pPr>
        <w:rPr>
          <w:b/>
          <w:i/>
        </w:rPr>
      </w:pPr>
    </w:p>
    <w:p w14:paraId="239906D5" w14:textId="3EA873E0" w:rsidR="00B20594" w:rsidRPr="00B20594" w:rsidRDefault="008F195B" w:rsidP="00B20594">
      <w:pPr>
        <w:shd w:val="clear" w:color="auto" w:fill="C6D9F1" w:themeFill="text2" w:themeFillTint="33"/>
      </w:pPr>
      <w:r>
        <w:rPr>
          <w:b/>
          <w:i/>
        </w:rPr>
        <w:t xml:space="preserve">Preferred </w:t>
      </w:r>
      <w:r w:rsidR="002161F3" w:rsidRPr="00354C94">
        <w:rPr>
          <w:b/>
          <w:i/>
        </w:rPr>
        <w:t>Option</w:t>
      </w:r>
      <w:r>
        <w:rPr>
          <w:b/>
          <w:i/>
        </w:rPr>
        <w:t>:</w:t>
      </w:r>
      <w:r w:rsidR="002161F3" w:rsidRPr="00354C94">
        <w:rPr>
          <w:b/>
          <w:i/>
        </w:rPr>
        <w:t xml:space="preserve"> </w:t>
      </w:r>
      <w:r w:rsidR="008C640B">
        <w:rPr>
          <w:b/>
          <w:i/>
        </w:rPr>
        <w:t>3</w:t>
      </w:r>
      <w:r w:rsidR="00557EFA">
        <w:rPr>
          <w:b/>
          <w:i/>
        </w:rPr>
        <w:t>.1</w:t>
      </w:r>
      <w:r w:rsidR="002161F3">
        <w:t xml:space="preserve"> </w:t>
      </w:r>
      <w:r w:rsidR="002161F3" w:rsidRPr="00AB43FF">
        <w:t>Two regulatory food safety management tools (</w:t>
      </w:r>
      <w:r w:rsidR="0080420F">
        <w:t>FSS</w:t>
      </w:r>
      <w:r w:rsidR="002161F3">
        <w:t xml:space="preserve"> and </w:t>
      </w:r>
      <w:r w:rsidR="0080420F">
        <w:t>FHT</w:t>
      </w:r>
      <w:r w:rsidR="002161F3" w:rsidRPr="00AB43FF">
        <w:t>) are considered appropriate</w:t>
      </w:r>
      <w:r w:rsidR="00B20594">
        <w:t xml:space="preserve"> for Category 2</w:t>
      </w:r>
      <w:r w:rsidR="002161F3">
        <w:t>. N</w:t>
      </w:r>
      <w:r w:rsidR="002161F3" w:rsidRPr="00AB43FF">
        <w:t>on-regulatory tools</w:t>
      </w:r>
      <w:r w:rsidR="002161F3">
        <w:t xml:space="preserve"> (</w:t>
      </w:r>
      <w:r w:rsidR="002161F3" w:rsidRPr="00AB43FF">
        <w:t>food safety culture and education</w:t>
      </w:r>
      <w:r w:rsidR="002161F3">
        <w:t xml:space="preserve"> initiatives) would contribute to the effective implementation of these regulatory measures</w:t>
      </w:r>
      <w:r w:rsidR="002161F3" w:rsidRPr="00AB43FF">
        <w:t xml:space="preserve">. </w:t>
      </w:r>
      <w:r w:rsidR="00B20594" w:rsidRPr="00B20594">
        <w:t xml:space="preserve">Templates are available to assist these businesses </w:t>
      </w:r>
      <w:r w:rsidR="008D3935">
        <w:t>maintain correct temperature control,</w:t>
      </w:r>
      <w:r w:rsidR="00B20594" w:rsidRPr="00B20594">
        <w:t xml:space="preserve"> but would not be mandated.</w:t>
      </w:r>
    </w:p>
    <w:p w14:paraId="1AF8F0C3" w14:textId="77777777" w:rsidR="00B20594" w:rsidRPr="00AB43FF" w:rsidRDefault="00B20594" w:rsidP="002161F3">
      <w:pPr>
        <w:shd w:val="clear" w:color="auto" w:fill="C6D9F1" w:themeFill="text2" w:themeFillTint="33"/>
      </w:pPr>
    </w:p>
    <w:p w14:paraId="4BA5FC7D" w14:textId="77777777" w:rsidR="002161F3" w:rsidRPr="00AB43FF" w:rsidRDefault="002161F3" w:rsidP="002161F3">
      <w:pPr>
        <w:rPr>
          <w:b/>
        </w:rPr>
      </w:pPr>
      <w:r w:rsidRPr="00AB43FF">
        <w:rPr>
          <w:b/>
        </w:rPr>
        <w:t>Category 3</w:t>
      </w:r>
    </w:p>
    <w:p w14:paraId="582C2436" w14:textId="2A77CDD5" w:rsidR="00B20594" w:rsidRDefault="00B20594" w:rsidP="00B20594">
      <w:r w:rsidRPr="00AB43FF">
        <w:t xml:space="preserve">Retailers of pre-packaged ready-to-eat </w:t>
      </w:r>
      <w:r w:rsidR="00A87E84">
        <w:t>PHF</w:t>
      </w:r>
      <w:r>
        <w:t>, which remains packaged</w:t>
      </w:r>
      <w:r w:rsidR="00FC252D">
        <w:t xml:space="preserve"> </w:t>
      </w:r>
      <w:r w:rsidRPr="00AB43FF">
        <w:t xml:space="preserve">are </w:t>
      </w:r>
      <w:r>
        <w:t>considered to be included in this category.</w:t>
      </w:r>
      <w:r w:rsidRPr="00AB43FF">
        <w:t xml:space="preserve"> </w:t>
      </w:r>
    </w:p>
    <w:p w14:paraId="1EBE0BC8" w14:textId="77777777" w:rsidR="00B20594" w:rsidRDefault="00B20594" w:rsidP="00B20594"/>
    <w:p w14:paraId="6710B1A0" w14:textId="789F5A36" w:rsidR="002161F3" w:rsidRPr="00AB43FF" w:rsidRDefault="002161F3" w:rsidP="002161F3">
      <w:pPr>
        <w:rPr>
          <w:rFonts w:cs="Arial"/>
          <w:szCs w:val="22"/>
          <w:lang w:val="en-AU"/>
        </w:rPr>
      </w:pPr>
      <w:r w:rsidRPr="00AB43FF">
        <w:t xml:space="preserve">A retailer </w:t>
      </w:r>
      <w:r w:rsidR="00B20594">
        <w:t>which only handles</w:t>
      </w:r>
      <w:r w:rsidR="00B20594" w:rsidRPr="00AB43FF">
        <w:t xml:space="preserve"> </w:t>
      </w:r>
      <w:r w:rsidRPr="00AB43FF">
        <w:t xml:space="preserve">ready-to-eat </w:t>
      </w:r>
      <w:r w:rsidR="00A87E84">
        <w:t>PHF</w:t>
      </w:r>
      <w:r w:rsidRPr="00AB43FF">
        <w:t xml:space="preserve"> </w:t>
      </w:r>
      <w:r w:rsidR="00B20594">
        <w:t xml:space="preserve">that is pre-packaged (and remains in </w:t>
      </w:r>
      <w:r w:rsidR="00B20594">
        <w:lastRenderedPageBreak/>
        <w:t xml:space="preserve">the packaging) </w:t>
      </w:r>
      <w:r w:rsidRPr="00AB43FF">
        <w:t xml:space="preserve">has one food handling control which is not critical (maintain temperature during storage and display). There </w:t>
      </w:r>
      <w:r>
        <w:t xml:space="preserve">is </w:t>
      </w:r>
      <w:r w:rsidRPr="00AB43FF">
        <w:t xml:space="preserve">no directly relevant setting in the foodborne illness data to link outbreaks to </w:t>
      </w:r>
      <w:r>
        <w:t>this setting</w:t>
      </w:r>
      <w:r w:rsidRPr="00AB43FF">
        <w:rPr>
          <w:rFonts w:cs="Arial"/>
          <w:szCs w:val="22"/>
          <w:lang w:val="en-AU"/>
        </w:rPr>
        <w:t xml:space="preserve">. </w:t>
      </w:r>
    </w:p>
    <w:p w14:paraId="5A4D87EB" w14:textId="77777777" w:rsidR="00B20594" w:rsidRPr="00B20594" w:rsidRDefault="00B20594" w:rsidP="002161F3">
      <w:pPr>
        <w:rPr>
          <w:rFonts w:cs="Arial"/>
          <w:szCs w:val="22"/>
          <w:lang w:val="en-AU"/>
        </w:rPr>
      </w:pPr>
    </w:p>
    <w:p w14:paraId="067B46E2" w14:textId="77777777" w:rsidR="002161F3" w:rsidRDefault="002161F3" w:rsidP="002161F3">
      <w:r w:rsidRPr="00AB43FF">
        <w:rPr>
          <w:rFonts w:cs="Arial"/>
          <w:szCs w:val="22"/>
          <w:lang w:val="en-AU"/>
        </w:rPr>
        <w:t xml:space="preserve">Therefore, there is no threshold to directly evaluate a benefit </w:t>
      </w:r>
      <w:r w:rsidRPr="00AB43FF">
        <w:t xml:space="preserve">if applying any regulatory interventions in these settings. </w:t>
      </w:r>
    </w:p>
    <w:p w14:paraId="425AF3F7" w14:textId="77777777" w:rsidR="002161F3" w:rsidRPr="00AB43FF" w:rsidRDefault="002161F3" w:rsidP="002161F3">
      <w:pPr>
        <w:rPr>
          <w:rFonts w:cs="Arial"/>
          <w:szCs w:val="22"/>
          <w:lang w:val="en-AU"/>
        </w:rPr>
      </w:pPr>
    </w:p>
    <w:p w14:paraId="3E0CE580" w14:textId="0B5601CA" w:rsidR="00FB7A03" w:rsidRPr="00B20594" w:rsidRDefault="008F195B" w:rsidP="00B20594">
      <w:pPr>
        <w:shd w:val="clear" w:color="auto" w:fill="EAF1DD" w:themeFill="accent3" w:themeFillTint="33"/>
      </w:pPr>
      <w:r>
        <w:rPr>
          <w:b/>
          <w:i/>
        </w:rPr>
        <w:t xml:space="preserve">Preferred Option: </w:t>
      </w:r>
      <w:r w:rsidR="00E3662B">
        <w:rPr>
          <w:b/>
          <w:i/>
        </w:rPr>
        <w:t>No regulatory measures</w:t>
      </w:r>
      <w:r>
        <w:rPr>
          <w:b/>
          <w:i/>
        </w:rPr>
        <w:t xml:space="preserve">, </w:t>
      </w:r>
      <w:r w:rsidRPr="008F195B">
        <w:t>a</w:t>
      </w:r>
      <w:r w:rsidR="00B20594" w:rsidRPr="00B20594">
        <w:t xml:space="preserve"> targeted education campaign focusing on storage and display temperature of </w:t>
      </w:r>
      <w:r w:rsidR="00A87E84">
        <w:t>PHF</w:t>
      </w:r>
      <w:r w:rsidR="00B20594" w:rsidRPr="00B20594">
        <w:t xml:space="preserve"> in these settings is considered the most appropriate option. Templates are available to assist these businesses </w:t>
      </w:r>
      <w:r w:rsidR="008D3935">
        <w:t>maintain correct temperature control</w:t>
      </w:r>
      <w:r w:rsidR="00B20594" w:rsidRPr="00B20594">
        <w:t>, but would not be mandated.</w:t>
      </w:r>
    </w:p>
    <w:p w14:paraId="00F5B132" w14:textId="11559C14" w:rsidR="00A2457A" w:rsidRPr="00CD52EC" w:rsidRDefault="00A2457A" w:rsidP="00D830D4">
      <w:pPr>
        <w:pStyle w:val="Heading2"/>
        <w:ind w:left="567"/>
      </w:pPr>
      <w:bookmarkStart w:id="44" w:name="_Toc94172659"/>
      <w:r w:rsidRPr="00CD52EC">
        <w:t xml:space="preserve">Not-for-profit </w:t>
      </w:r>
      <w:r>
        <w:t>organisations</w:t>
      </w:r>
      <w:r w:rsidRPr="00CD52EC">
        <w:t xml:space="preserve"> and fund raising event</w:t>
      </w:r>
      <w:r w:rsidR="003853BB">
        <w:t>s</w:t>
      </w:r>
      <w:bookmarkEnd w:id="44"/>
    </w:p>
    <w:p w14:paraId="6C9B6CE1" w14:textId="1A1E1698" w:rsidR="00A2457A" w:rsidRPr="00CD52EC" w:rsidRDefault="00A2457A" w:rsidP="00A2457A">
      <w:r w:rsidRPr="00CD52EC">
        <w:t>As part of</w:t>
      </w:r>
      <w:r w:rsidRPr="00CD52EC" w:rsidDel="001728A9">
        <w:t xml:space="preserve"> </w:t>
      </w:r>
      <w:r w:rsidR="001728A9">
        <w:t>our</w:t>
      </w:r>
      <w:r w:rsidR="001728A9" w:rsidRPr="00CD52EC">
        <w:t xml:space="preserve"> </w:t>
      </w:r>
      <w:r w:rsidRPr="00CD52EC">
        <w:t xml:space="preserve">assessment, FSANZ examined whether the additional food safety management tools should be applied to not-for-profit </w:t>
      </w:r>
      <w:r>
        <w:t>organisations</w:t>
      </w:r>
      <w:r w:rsidRPr="00CD52EC">
        <w:t xml:space="preserve">, and/or any businesses </w:t>
      </w:r>
      <w:r w:rsidR="00B90694" w:rsidRPr="00CD52EC">
        <w:t xml:space="preserve">handling </w:t>
      </w:r>
      <w:r w:rsidRPr="00CD52EC">
        <w:t xml:space="preserve">food at a fund raising event. </w:t>
      </w:r>
    </w:p>
    <w:p w14:paraId="21ACE9E7" w14:textId="77777777" w:rsidR="00A2457A" w:rsidRPr="007B6869" w:rsidRDefault="00A2457A" w:rsidP="00A2457A">
      <w:pPr>
        <w:rPr>
          <w:color w:val="00B050"/>
        </w:rPr>
      </w:pPr>
    </w:p>
    <w:p w14:paraId="0196132C" w14:textId="1F5EF8C5" w:rsidR="00A2457A" w:rsidRPr="00CD52EC" w:rsidRDefault="00A2457A" w:rsidP="00A2457A">
      <w:r w:rsidRPr="000A231D">
        <w:t xml:space="preserve">Not-for-profit organisations are organisations that provide services to the community and do not operate to make a profit for its members (or shareholders, if applicable). In </w:t>
      </w:r>
      <w:r w:rsidRPr="00CD52EC">
        <w:t xml:space="preserve">some instances, a not-for-profit organisation may operate a food business as an ongoing activity. This ongoing business operation poses similar risks to any business that undertakes handling and service of </w:t>
      </w:r>
      <w:r w:rsidR="00A87E84">
        <w:t>PHF</w:t>
      </w:r>
      <w:r w:rsidRPr="00CD52EC">
        <w:t xml:space="preserve"> as ready-to-eat food to consumers.</w:t>
      </w:r>
    </w:p>
    <w:p w14:paraId="756A20B3" w14:textId="77777777" w:rsidR="00A2457A" w:rsidRPr="00CD52EC" w:rsidRDefault="00A2457A" w:rsidP="00A2457A"/>
    <w:p w14:paraId="2C05B3CE" w14:textId="1FADD05D" w:rsidR="00A2457A" w:rsidRPr="00CD52EC" w:rsidRDefault="00A2457A" w:rsidP="00A2457A">
      <w:r w:rsidRPr="00CD52EC">
        <w:t xml:space="preserve">It’s important to note that Standard 3.2.2 requirements for the safe handling of </w:t>
      </w:r>
      <w:r w:rsidR="00B90694">
        <w:t>PHF</w:t>
      </w:r>
      <w:r w:rsidRPr="00CD52EC">
        <w:t xml:space="preserve"> (including</w:t>
      </w:r>
      <w:r>
        <w:t xml:space="preserve"> temperature control and </w:t>
      </w:r>
      <w:r w:rsidRPr="00CD52EC">
        <w:t xml:space="preserve">cleaning and </w:t>
      </w:r>
      <w:r w:rsidRPr="005A48E0">
        <w:t xml:space="preserve">sanitising) </w:t>
      </w:r>
      <w:r w:rsidRPr="000A231D">
        <w:t>appl</w:t>
      </w:r>
      <w:r>
        <w:t>y</w:t>
      </w:r>
      <w:r w:rsidRPr="000A231D">
        <w:t xml:space="preserve"> to </w:t>
      </w:r>
      <w:r w:rsidR="00051E91">
        <w:t>food handled at</w:t>
      </w:r>
      <w:r w:rsidRPr="000A231D">
        <w:t xml:space="preserve"> a </w:t>
      </w:r>
      <w:r w:rsidR="00051E91">
        <w:t>fund raising event</w:t>
      </w:r>
      <w:r w:rsidRPr="000A231D">
        <w:t>.</w:t>
      </w:r>
      <w:r w:rsidRPr="000A231D">
        <w:rPr>
          <w:rFonts w:cs="Arial"/>
          <w:sz w:val="20"/>
          <w:szCs w:val="20"/>
          <w:lang w:val="en-AU"/>
        </w:rPr>
        <w:t xml:space="preserve"> </w:t>
      </w:r>
    </w:p>
    <w:p w14:paraId="71CFB5A2" w14:textId="77777777" w:rsidR="00A2457A" w:rsidRPr="00CD52EC" w:rsidRDefault="00A2457A" w:rsidP="00A2457A"/>
    <w:p w14:paraId="1FBC4988" w14:textId="77777777" w:rsidR="00403044" w:rsidRPr="00CD52EC" w:rsidRDefault="00403044" w:rsidP="00403044">
      <w:r w:rsidRPr="00CD52EC">
        <w:t>A fund raising event is considered a one off event and is defined in Standard 1.1.2 of the Code as ‘</w:t>
      </w:r>
      <w:r w:rsidRPr="00CD52EC">
        <w:rPr>
          <w:b/>
          <w:bCs/>
          <w:i/>
          <w:iCs/>
        </w:rPr>
        <w:t>fund raising event</w:t>
      </w:r>
      <w:r w:rsidRPr="00CD52EC">
        <w:t xml:space="preserve"> means an event that raises funds solely for a community or charitable cause and not for personal financial gain’</w:t>
      </w:r>
      <w:r w:rsidRPr="00CD52EC">
        <w:rPr>
          <w:lang w:val="en-AU"/>
        </w:rPr>
        <w:t>.</w:t>
      </w:r>
    </w:p>
    <w:p w14:paraId="155DB42F" w14:textId="77777777" w:rsidR="00403044" w:rsidRPr="007B6869" w:rsidRDefault="00403044" w:rsidP="00403044">
      <w:pPr>
        <w:rPr>
          <w:color w:val="00B050"/>
        </w:rPr>
      </w:pPr>
    </w:p>
    <w:p w14:paraId="21C3F82E" w14:textId="365433B4" w:rsidR="004F6958" w:rsidRDefault="001C09EC" w:rsidP="00A2457A">
      <w:pPr>
        <w:rPr>
          <w:szCs w:val="22"/>
          <w:lang w:eastAsia="en-AU" w:bidi="ar-SA"/>
        </w:rPr>
      </w:pPr>
      <w:r>
        <w:rPr>
          <w:szCs w:val="22"/>
          <w:lang w:eastAsia="en-AU" w:bidi="ar-SA"/>
        </w:rPr>
        <w:t xml:space="preserve">FSANZ considers that additional regulatory measures, above what is already required by Standard 3.2.2, are not </w:t>
      </w:r>
      <w:r w:rsidRPr="00CD52EC">
        <w:rPr>
          <w:szCs w:val="22"/>
          <w:lang w:eastAsia="en-AU" w:bidi="ar-SA"/>
        </w:rPr>
        <w:t xml:space="preserve">sustainable </w:t>
      </w:r>
      <w:r>
        <w:rPr>
          <w:szCs w:val="22"/>
          <w:lang w:eastAsia="en-AU" w:bidi="ar-SA"/>
        </w:rPr>
        <w:t xml:space="preserve">or reasonable </w:t>
      </w:r>
      <w:r w:rsidRPr="00CD52EC">
        <w:rPr>
          <w:szCs w:val="22"/>
          <w:lang w:eastAsia="en-AU" w:bidi="ar-SA"/>
        </w:rPr>
        <w:t>in th</w:t>
      </w:r>
      <w:r>
        <w:rPr>
          <w:szCs w:val="22"/>
          <w:lang w:eastAsia="en-AU" w:bidi="ar-SA"/>
        </w:rPr>
        <w:t>is setting. Th</w:t>
      </w:r>
      <w:r w:rsidR="00794F3C">
        <w:rPr>
          <w:szCs w:val="22"/>
          <w:lang w:eastAsia="en-AU" w:bidi="ar-SA"/>
        </w:rPr>
        <w:t xml:space="preserve">is is because businesses raising money for the community or charitable causes are often </w:t>
      </w:r>
      <w:r w:rsidR="00794F3C">
        <w:rPr>
          <w:szCs w:val="22"/>
          <w:lang w:eastAsia="en-AU" w:bidi="ar-SA"/>
        </w:rPr>
        <w:lastRenderedPageBreak/>
        <w:t>run by volunteers. Th</w:t>
      </w:r>
      <w:r>
        <w:rPr>
          <w:szCs w:val="22"/>
          <w:lang w:eastAsia="en-AU" w:bidi="ar-SA"/>
        </w:rPr>
        <w:t xml:space="preserve">e three tools of this proposal focus on skills and knowledge requirements and evidence tools that assist businesses to safely monitor and manage </w:t>
      </w:r>
      <w:r w:rsidR="00B12091">
        <w:rPr>
          <w:szCs w:val="22"/>
          <w:lang w:eastAsia="en-AU" w:bidi="ar-SA"/>
        </w:rPr>
        <w:t xml:space="preserve">complex </w:t>
      </w:r>
      <w:r>
        <w:rPr>
          <w:szCs w:val="22"/>
          <w:lang w:eastAsia="en-AU" w:bidi="ar-SA"/>
        </w:rPr>
        <w:t xml:space="preserve">PHF handling processes. </w:t>
      </w:r>
      <w:r w:rsidR="00794F3C">
        <w:rPr>
          <w:szCs w:val="22"/>
          <w:lang w:eastAsia="en-AU" w:bidi="ar-SA"/>
        </w:rPr>
        <w:t xml:space="preserve">It is not practicable to require additional regulatory measures in these circumstances. </w:t>
      </w:r>
      <w:r w:rsidR="00794F3C" w:rsidRPr="00CD52EC">
        <w:t xml:space="preserve">FSANZ has included an exemption in the draft standard to reflect this. </w:t>
      </w:r>
    </w:p>
    <w:p w14:paraId="7412191E" w14:textId="77777777" w:rsidR="004F6958" w:rsidRDefault="004F6958" w:rsidP="00A2457A">
      <w:pPr>
        <w:rPr>
          <w:szCs w:val="22"/>
          <w:lang w:eastAsia="en-AU" w:bidi="ar-SA"/>
        </w:rPr>
      </w:pPr>
    </w:p>
    <w:p w14:paraId="28963D89" w14:textId="36EA617E" w:rsidR="00FC105A" w:rsidRDefault="00FC105A" w:rsidP="00A2457A">
      <w:pPr>
        <w:rPr>
          <w:szCs w:val="22"/>
          <w:lang w:eastAsia="en-AU" w:bidi="ar-SA"/>
        </w:rPr>
      </w:pPr>
      <w:r>
        <w:rPr>
          <w:szCs w:val="22"/>
          <w:lang w:eastAsia="en-AU" w:bidi="ar-SA"/>
        </w:rPr>
        <w:t>As a result, FSANZ considers that no</w:t>
      </w:r>
      <w:r>
        <w:t xml:space="preserve">n-regulatory tools, such as </w:t>
      </w:r>
      <w:r w:rsidR="00A36546">
        <w:t xml:space="preserve">the </w:t>
      </w:r>
      <w:r w:rsidR="001C09EC">
        <w:t xml:space="preserve">currently available </w:t>
      </w:r>
      <w:r>
        <w:t>education material supporting the implementation of Standard 3.2.2 requirements at a fund raising event, are adequate for managing likelihood of foodborne illness in this setting.</w:t>
      </w:r>
    </w:p>
    <w:p w14:paraId="3C8A2EDF" w14:textId="77777777" w:rsidR="00FC105A" w:rsidRDefault="00FC105A" w:rsidP="00A2457A">
      <w:pPr>
        <w:rPr>
          <w:szCs w:val="22"/>
          <w:lang w:eastAsia="en-AU" w:bidi="ar-SA"/>
        </w:rPr>
      </w:pPr>
    </w:p>
    <w:p w14:paraId="2CFDAA7E" w14:textId="3AD71CEA" w:rsidR="00A2457A" w:rsidRDefault="00A2457A" w:rsidP="00A2457A">
      <w:r w:rsidRPr="00CD52EC">
        <w:t xml:space="preserve">The </w:t>
      </w:r>
      <w:r>
        <w:t xml:space="preserve">proposed </w:t>
      </w:r>
      <w:r w:rsidRPr="00CD52EC">
        <w:t>exemption provides a level playing field for all business that handle food for a fund</w:t>
      </w:r>
      <w:r w:rsidR="00A36546">
        <w:t xml:space="preserve"> </w:t>
      </w:r>
      <w:r w:rsidRPr="00CD52EC">
        <w:t xml:space="preserve">raising event, regardless of whether </w:t>
      </w:r>
      <w:r w:rsidR="00B90694">
        <w:t xml:space="preserve">or not </w:t>
      </w:r>
      <w:r w:rsidRPr="00CD52EC">
        <w:t xml:space="preserve">they are </w:t>
      </w:r>
      <w:r w:rsidR="00B90694">
        <w:t xml:space="preserve">a </w:t>
      </w:r>
      <w:r w:rsidRPr="00CD52EC">
        <w:t>not-for-profit</w:t>
      </w:r>
      <w:r>
        <w:t xml:space="preserve"> organisation</w:t>
      </w:r>
      <w:r w:rsidRPr="00CD52EC">
        <w:t xml:space="preserve">. </w:t>
      </w:r>
    </w:p>
    <w:p w14:paraId="1D08097B" w14:textId="77777777" w:rsidR="00E4793B" w:rsidRPr="00E41DE3" w:rsidRDefault="00E4793B" w:rsidP="00A2457A"/>
    <w:p w14:paraId="6217151A" w14:textId="0B08BAF1" w:rsidR="00E520FE" w:rsidRPr="00932F14" w:rsidRDefault="00E520FE" w:rsidP="00E4793B">
      <w:pPr>
        <w:pStyle w:val="Heading1"/>
      </w:pPr>
      <w:bookmarkStart w:id="45" w:name="_Toc300933435"/>
      <w:bookmarkStart w:id="46" w:name="_Toc94172660"/>
      <w:r>
        <w:t>Risk communication</w:t>
      </w:r>
      <w:bookmarkEnd w:id="45"/>
      <w:bookmarkEnd w:id="46"/>
      <w:r>
        <w:t xml:space="preserve"> </w:t>
      </w:r>
    </w:p>
    <w:p w14:paraId="428BC793" w14:textId="1686F876" w:rsidR="008B43D1" w:rsidRDefault="008B43D1" w:rsidP="008B43D1">
      <w:bookmarkStart w:id="47" w:name="_Toc300933437"/>
      <w:bookmarkStart w:id="48" w:name="_Toc286391012"/>
      <w:r w:rsidRPr="00AA50BB">
        <w:rPr>
          <w:lang w:val="en-AU"/>
        </w:rPr>
        <w:t xml:space="preserve">Consultation activities on this project and the proposed tools have spanned </w:t>
      </w:r>
      <w:r>
        <w:rPr>
          <w:lang w:val="en-AU"/>
        </w:rPr>
        <w:t>many</w:t>
      </w:r>
      <w:r w:rsidRPr="00AA50BB">
        <w:rPr>
          <w:lang w:val="en-AU"/>
        </w:rPr>
        <w:t xml:space="preserve"> years and </w:t>
      </w:r>
      <w:r>
        <w:rPr>
          <w:lang w:val="en-AU"/>
        </w:rPr>
        <w:t>taken</w:t>
      </w:r>
      <w:r w:rsidRPr="00AA50BB">
        <w:rPr>
          <w:lang w:val="en-AU"/>
        </w:rPr>
        <w:t xml:space="preserve"> many forms to make sure all viable options have been considered.</w:t>
      </w:r>
    </w:p>
    <w:p w14:paraId="2A916143" w14:textId="5C72FE1F" w:rsidR="00E520FE" w:rsidRPr="007A23E0" w:rsidRDefault="00E520FE" w:rsidP="00D830D4">
      <w:pPr>
        <w:pStyle w:val="Heading2"/>
        <w:ind w:left="567"/>
      </w:pPr>
      <w:bookmarkStart w:id="49" w:name="_Toc94172661"/>
      <w:r w:rsidRPr="007A23E0">
        <w:t>Consultation</w:t>
      </w:r>
      <w:bookmarkEnd w:id="47"/>
      <w:bookmarkEnd w:id="49"/>
    </w:p>
    <w:p w14:paraId="2244B248" w14:textId="5C368511" w:rsidR="004B7C19" w:rsidRDefault="006C2405" w:rsidP="0032480C">
      <w:r w:rsidRPr="0027513D">
        <w:t xml:space="preserve">Consultation is a key part of FSANZ’s standards development process. </w:t>
      </w:r>
      <w:r>
        <w:t xml:space="preserve">We have consulted with stakeholders throughout this proposal, including </w:t>
      </w:r>
      <w:r w:rsidR="00EE23AD">
        <w:t xml:space="preserve">two </w:t>
      </w:r>
      <w:r>
        <w:t>public discussion paper</w:t>
      </w:r>
      <w:r w:rsidR="00EE23AD">
        <w:t>s</w:t>
      </w:r>
      <w:r>
        <w:t xml:space="preserve"> and a targeted survey with food service businesses. </w:t>
      </w:r>
      <w:r w:rsidR="004B7C19">
        <w:rPr>
          <w:rFonts w:cstheme="minorHAnsi"/>
        </w:rPr>
        <w:t>All survey responses and submissions to the public discussion papers have been considered by FSANZ as part of our assessme</w:t>
      </w:r>
      <w:r w:rsidR="004B7C19" w:rsidRPr="00FC252D">
        <w:rPr>
          <w:rFonts w:cstheme="minorHAnsi"/>
        </w:rPr>
        <w:t>nt (SD</w:t>
      </w:r>
      <w:r w:rsidR="00567F36" w:rsidRPr="00FC252D">
        <w:rPr>
          <w:rFonts w:cstheme="minorHAnsi"/>
        </w:rPr>
        <w:t>1</w:t>
      </w:r>
      <w:r w:rsidR="004B7C19" w:rsidRPr="00FC252D">
        <w:rPr>
          <w:rFonts w:cstheme="minorHAnsi"/>
        </w:rPr>
        <w:t>).</w:t>
      </w:r>
      <w:r w:rsidR="004B7C19">
        <w:rPr>
          <w:rFonts w:cstheme="minorHAnsi"/>
        </w:rPr>
        <w:t xml:space="preserve"> Section 3 of this paper summarises stakeholder views.</w:t>
      </w:r>
      <w:r w:rsidR="00FC252D">
        <w:rPr>
          <w:rFonts w:cstheme="minorHAnsi"/>
        </w:rPr>
        <w:t xml:space="preserve"> </w:t>
      </w:r>
    </w:p>
    <w:p w14:paraId="4E6506F8" w14:textId="77777777" w:rsidR="004B7C19" w:rsidRDefault="004B7C19" w:rsidP="0032480C"/>
    <w:p w14:paraId="374E52FC" w14:textId="029FEF1D" w:rsidR="006C2405" w:rsidRDefault="006C2405" w:rsidP="0032480C">
      <w:pPr>
        <w:rPr>
          <w:rFonts w:cs="Arial"/>
        </w:rPr>
      </w:pPr>
      <w:r w:rsidRPr="000573F0">
        <w:rPr>
          <w:rFonts w:cs="Arial"/>
        </w:rPr>
        <w:t>FSANZ work</w:t>
      </w:r>
      <w:r>
        <w:rPr>
          <w:rFonts w:cs="Arial"/>
        </w:rPr>
        <w:t>ed closely</w:t>
      </w:r>
      <w:r w:rsidRPr="000573F0">
        <w:rPr>
          <w:rFonts w:cs="Arial"/>
        </w:rPr>
        <w:t xml:space="preserve"> with state</w:t>
      </w:r>
      <w:r>
        <w:rPr>
          <w:rFonts w:cs="Arial"/>
        </w:rPr>
        <w:t xml:space="preserve"> and territory food regulators</w:t>
      </w:r>
      <w:r w:rsidRPr="000573F0">
        <w:rPr>
          <w:rFonts w:cs="Arial"/>
        </w:rPr>
        <w:t xml:space="preserve"> to ensure the proposed </w:t>
      </w:r>
      <w:r>
        <w:rPr>
          <w:rFonts w:cs="Arial"/>
        </w:rPr>
        <w:t xml:space="preserve">measures </w:t>
      </w:r>
      <w:r w:rsidRPr="000573F0">
        <w:rPr>
          <w:rFonts w:cs="Arial"/>
        </w:rPr>
        <w:t>can be implemented in each jurisdiction.</w:t>
      </w:r>
      <w:r w:rsidR="006C44B5">
        <w:rPr>
          <w:rFonts w:cs="Arial"/>
        </w:rPr>
        <w:t xml:space="preserve"> Case studies have been provided in the CRIS </w:t>
      </w:r>
      <w:r w:rsidR="00403044">
        <w:rPr>
          <w:rFonts w:cs="Arial"/>
        </w:rPr>
        <w:t xml:space="preserve">(Section </w:t>
      </w:r>
      <w:r w:rsidR="008A62ED">
        <w:rPr>
          <w:rFonts w:cs="Arial"/>
        </w:rPr>
        <w:t>8</w:t>
      </w:r>
      <w:r w:rsidR="00403044">
        <w:rPr>
          <w:rFonts w:cs="Arial"/>
        </w:rPr>
        <w:t xml:space="preserve">) </w:t>
      </w:r>
      <w:r w:rsidR="006C44B5">
        <w:rPr>
          <w:rFonts w:cs="Arial"/>
        </w:rPr>
        <w:t xml:space="preserve">to </w:t>
      </w:r>
      <w:r w:rsidR="001812F5">
        <w:t>indicate</w:t>
      </w:r>
      <w:r w:rsidR="006C44B5">
        <w:t xml:space="preserve"> where and when the tools would be applied. </w:t>
      </w:r>
    </w:p>
    <w:p w14:paraId="18F5CA30" w14:textId="0C215A2B" w:rsidR="008B43D1" w:rsidRPr="00AA50BB" w:rsidRDefault="008B43D1" w:rsidP="008B43D1">
      <w:pPr>
        <w:rPr>
          <w:lang w:val="en-AU"/>
        </w:rPr>
      </w:pPr>
    </w:p>
    <w:p w14:paraId="5907F3C5" w14:textId="72F980CB" w:rsidR="008B43D1" w:rsidRDefault="008B43D1" w:rsidP="008B43D1">
      <w:pPr>
        <w:rPr>
          <w:lang w:val="en-AU"/>
        </w:rPr>
      </w:pPr>
      <w:r w:rsidRPr="00AA50BB">
        <w:rPr>
          <w:lang w:val="en-AU"/>
        </w:rPr>
        <w:lastRenderedPageBreak/>
        <w:t xml:space="preserve">FSANZ implemented a revised stakeholder strategy to account for the challenges associated with stakeholder engagement during </w:t>
      </w:r>
      <w:r>
        <w:rPr>
          <w:lang w:val="en-AU"/>
        </w:rPr>
        <w:t xml:space="preserve">the </w:t>
      </w:r>
      <w:r w:rsidRPr="00AA50BB">
        <w:rPr>
          <w:lang w:val="en-AU"/>
        </w:rPr>
        <w:t>COVID-19</w:t>
      </w:r>
      <w:r>
        <w:rPr>
          <w:lang w:val="en-AU"/>
        </w:rPr>
        <w:t xml:space="preserve"> pandemic</w:t>
      </w:r>
      <w:r w:rsidR="0098534B">
        <w:rPr>
          <w:lang w:val="en-AU"/>
        </w:rPr>
        <w:t xml:space="preserve"> and</w:t>
      </w:r>
      <w:r w:rsidRPr="00AA50BB">
        <w:rPr>
          <w:lang w:val="en-AU"/>
        </w:rPr>
        <w:t xml:space="preserve"> manage the risk of reduced stakeholder input</w:t>
      </w:r>
      <w:r w:rsidR="0098534B">
        <w:rPr>
          <w:lang w:val="en-AU"/>
        </w:rPr>
        <w:t>. The aim was to</w:t>
      </w:r>
      <w:r w:rsidRPr="00AA50BB">
        <w:rPr>
          <w:lang w:val="en-AU"/>
        </w:rPr>
        <w:t xml:space="preserve"> ensure the effectiveness of any regulatory measures developed. </w:t>
      </w:r>
    </w:p>
    <w:p w14:paraId="560A99E6" w14:textId="77777777" w:rsidR="004B7C19" w:rsidRPr="00AA50BB" w:rsidRDefault="004B7C19" w:rsidP="008B43D1">
      <w:pPr>
        <w:rPr>
          <w:lang w:val="en-AU"/>
        </w:rPr>
      </w:pPr>
    </w:p>
    <w:p w14:paraId="57DC9C16" w14:textId="56174215" w:rsidR="00A71838" w:rsidRPr="003056C1" w:rsidRDefault="00A71838" w:rsidP="008E09D5">
      <w:pPr>
        <w:rPr>
          <w:rFonts w:cs="Arial"/>
          <w:color w:val="000000"/>
        </w:rPr>
      </w:pPr>
      <w:r>
        <w:rPr>
          <w:rFonts w:cs="Arial"/>
          <w:color w:val="000000"/>
        </w:rPr>
        <w:t>Subscribers and interested parties have been notified about this call for submissions via the FSANZ Notification Circular, media release and through FSANZ’s social media tools and Food Standards News.</w:t>
      </w:r>
      <w:r w:rsidR="004B7C19">
        <w:rPr>
          <w:rFonts w:cs="Arial"/>
          <w:color w:val="000000"/>
        </w:rPr>
        <w:t xml:space="preserve"> </w:t>
      </w:r>
      <w:r>
        <w:rPr>
          <w:rFonts w:cs="Arial"/>
        </w:rPr>
        <w:t xml:space="preserve">Stakeholders are encouraged to make a submission in response to this report. </w:t>
      </w:r>
      <w:r>
        <w:t xml:space="preserve">All comments are valued and contribute to the rigour of our assessment. </w:t>
      </w:r>
      <w:r w:rsidR="008E09D5">
        <w:t>All submissions and comments received will be taken into account and be used to inform a decision by the Board whether to approve, amend or reject the draft variation</w:t>
      </w:r>
      <w:r w:rsidR="003056C1">
        <w:rPr>
          <w:rFonts w:cs="Arial"/>
          <w:color w:val="000000"/>
        </w:rPr>
        <w:t xml:space="preserve">. </w:t>
      </w:r>
    </w:p>
    <w:p w14:paraId="23B15904" w14:textId="41E2B497" w:rsidR="00E520FE" w:rsidRPr="00022DBC" w:rsidRDefault="00E520FE" w:rsidP="00D830D4">
      <w:pPr>
        <w:pStyle w:val="Heading2"/>
        <w:ind w:left="567"/>
      </w:pPr>
      <w:bookmarkStart w:id="50" w:name="_Toc300761912"/>
      <w:bookmarkStart w:id="51" w:name="_Toc300933439"/>
      <w:bookmarkStart w:id="52" w:name="_Toc94172662"/>
      <w:bookmarkEnd w:id="48"/>
      <w:r w:rsidRPr="00022DBC">
        <w:t>World Trade Organization (WTO)</w:t>
      </w:r>
      <w:bookmarkEnd w:id="50"/>
      <w:bookmarkEnd w:id="51"/>
      <w:bookmarkEnd w:id="52"/>
    </w:p>
    <w:p w14:paraId="65B0A706" w14:textId="0B0F4A39" w:rsidR="00E520FE" w:rsidRDefault="00E520FE" w:rsidP="00E520FE">
      <w:pPr>
        <w:rPr>
          <w:rFonts w:cs="Arial"/>
          <w:color w:val="000000"/>
        </w:rPr>
      </w:pPr>
      <w:r w:rsidRPr="00DC6570">
        <w:rPr>
          <w:rFonts w:cs="Arial"/>
          <w:color w:val="000000"/>
        </w:rPr>
        <w:t>As members of the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5B769A84" w14:textId="52847DC2" w:rsidR="002C03CC" w:rsidRDefault="002C03CC" w:rsidP="00E520FE">
      <w:pPr>
        <w:rPr>
          <w:rFonts w:cs="Arial"/>
          <w:color w:val="000000"/>
        </w:rPr>
      </w:pPr>
    </w:p>
    <w:p w14:paraId="3FD95E02" w14:textId="0863FF96" w:rsidR="002C03CC" w:rsidRDefault="001B6E16" w:rsidP="002C03CC">
      <w:pPr>
        <w:tabs>
          <w:tab w:val="left" w:pos="1560"/>
        </w:tabs>
        <w:rPr>
          <w:rFonts w:cs="Arial"/>
          <w:iCs/>
        </w:rPr>
      </w:pPr>
      <w:r>
        <w:rPr>
          <w:rFonts w:cs="Arial"/>
        </w:rPr>
        <w:t>A</w:t>
      </w:r>
      <w:r w:rsidR="002C03CC">
        <w:rPr>
          <w:rFonts w:cs="Arial"/>
        </w:rPr>
        <w:t xml:space="preserve">mending the Code to </w:t>
      </w:r>
      <w:r w:rsidR="00531790">
        <w:rPr>
          <w:rFonts w:cs="Arial"/>
        </w:rPr>
        <w:t xml:space="preserve">require </w:t>
      </w:r>
      <w:r w:rsidR="0098534B">
        <w:rPr>
          <w:rFonts w:cs="Arial"/>
        </w:rPr>
        <w:t>these food safety management tools</w:t>
      </w:r>
      <w:r w:rsidR="002C03CC">
        <w:rPr>
          <w:rFonts w:cs="Arial"/>
        </w:rPr>
        <w:t xml:space="preserve"> in the food service and retail sectors is unlikely t</w:t>
      </w:r>
      <w:r w:rsidR="000943C0">
        <w:rPr>
          <w:rFonts w:cs="Arial"/>
        </w:rPr>
        <w:t>o have an impact</w:t>
      </w:r>
      <w:r w:rsidR="002C03CC">
        <w:rPr>
          <w:rFonts w:cs="Arial"/>
        </w:rPr>
        <w:t xml:space="preserve"> on international trade</w:t>
      </w:r>
      <w:r w:rsidR="0098534B">
        <w:rPr>
          <w:rFonts w:cs="Arial"/>
        </w:rPr>
        <w:t xml:space="preserve"> as it applies only to </w:t>
      </w:r>
      <w:r w:rsidR="00531790">
        <w:rPr>
          <w:rFonts w:cs="Arial"/>
        </w:rPr>
        <w:t xml:space="preserve">Australian </w:t>
      </w:r>
      <w:r w:rsidR="0098534B">
        <w:rPr>
          <w:rFonts w:cs="Arial"/>
        </w:rPr>
        <w:t>domestic food service sectors</w:t>
      </w:r>
      <w:r>
        <w:rPr>
          <w:rFonts w:cs="Arial"/>
        </w:rPr>
        <w:t xml:space="preserve">. </w:t>
      </w:r>
      <w:r w:rsidR="002C03CC">
        <w:rPr>
          <w:rFonts w:cs="Arial"/>
          <w:iCs/>
        </w:rPr>
        <w:t xml:space="preserve">Therefore, a notification to the WTO under </w:t>
      </w:r>
      <w:r w:rsidR="002C03CC">
        <w:rPr>
          <w:rFonts w:cs="Arial"/>
        </w:rPr>
        <w:t xml:space="preserve">Australia’s </w:t>
      </w:r>
      <w:r w:rsidR="002C03CC">
        <w:rPr>
          <w:rFonts w:cs="Arial"/>
          <w:iCs/>
        </w:rPr>
        <w:t>obligations under the WTO Application of Sanitary and Phytosanitary Measures Agreement was not considered necessary.</w:t>
      </w:r>
    </w:p>
    <w:p w14:paraId="3CE49EEB" w14:textId="77777777" w:rsidR="00E4793B" w:rsidRPr="002C03CC" w:rsidRDefault="00E4793B" w:rsidP="002C03CC">
      <w:pPr>
        <w:tabs>
          <w:tab w:val="left" w:pos="1560"/>
        </w:tabs>
        <w:rPr>
          <w:rFonts w:cs="Arial"/>
          <w:iCs/>
          <w:lang w:bidi="ar-SA"/>
        </w:rPr>
      </w:pPr>
    </w:p>
    <w:p w14:paraId="38959684" w14:textId="76B5CF16" w:rsidR="00E520FE" w:rsidRDefault="00022DBC" w:rsidP="0080420F">
      <w:pPr>
        <w:pStyle w:val="Heading1"/>
        <w:keepNext w:val="0"/>
      </w:pPr>
      <w:bookmarkStart w:id="53" w:name="_Toc94172663"/>
      <w:r>
        <w:t>FSANZ Act assessment requirements</w:t>
      </w:r>
      <w:bookmarkEnd w:id="53"/>
    </w:p>
    <w:p w14:paraId="5DBC2902" w14:textId="4DBAE120" w:rsidR="00726C2F" w:rsidRPr="00744353" w:rsidRDefault="00726C2F" w:rsidP="0080420F">
      <w:pPr>
        <w:keepNext/>
      </w:pPr>
      <w:r w:rsidRPr="00744353">
        <w:t xml:space="preserve">When assessing this </w:t>
      </w:r>
      <w:r w:rsidR="00603257">
        <w:t>p</w:t>
      </w:r>
      <w:r w:rsidRPr="00744353">
        <w:t xml:space="preserve">roposal and the subsequent development of a food regulatory measure, FSANZ has had regard to the </w:t>
      </w:r>
      <w:r w:rsidRPr="00744353" w:rsidDel="00932F14">
        <w:t xml:space="preserve">following </w:t>
      </w:r>
      <w:r w:rsidRPr="00744353">
        <w:t>matters in section</w:t>
      </w:r>
      <w:r w:rsidR="00B017AD">
        <w:t>s</w:t>
      </w:r>
      <w:r w:rsidRPr="00744353">
        <w:t xml:space="preserve"> 59 </w:t>
      </w:r>
      <w:r w:rsidR="00B017AD">
        <w:t xml:space="preserve">and 18 </w:t>
      </w:r>
      <w:r w:rsidRPr="00744353">
        <w:t xml:space="preserve">of </w:t>
      </w:r>
      <w:r w:rsidRPr="00744353">
        <w:lastRenderedPageBreak/>
        <w:t>the FSANZ Act:</w:t>
      </w:r>
    </w:p>
    <w:p w14:paraId="167E1084" w14:textId="0E389DB0" w:rsidR="00726C2F" w:rsidRPr="00744353" w:rsidRDefault="00726C2F" w:rsidP="00B017AD">
      <w:pPr>
        <w:pStyle w:val="Heading2"/>
        <w:ind w:left="567"/>
      </w:pPr>
      <w:bookmarkStart w:id="54" w:name="_Toc94172664"/>
      <w:r w:rsidRPr="00744353">
        <w:t>Section 59</w:t>
      </w:r>
      <w:bookmarkEnd w:id="54"/>
    </w:p>
    <w:p w14:paraId="7D4C42CF" w14:textId="3066AFC2" w:rsidR="00726C2F" w:rsidRDefault="002D649D" w:rsidP="00E4793B">
      <w:pPr>
        <w:pStyle w:val="Heading3"/>
      </w:pPr>
      <w:bookmarkStart w:id="55" w:name="_Toc94172665"/>
      <w:r>
        <w:t>Consideration</w:t>
      </w:r>
      <w:r w:rsidR="00195254">
        <w:rPr>
          <w:lang w:val="en-AU"/>
        </w:rPr>
        <w:t xml:space="preserve"> of costs and benefits</w:t>
      </w:r>
      <w:bookmarkEnd w:id="55"/>
    </w:p>
    <w:p w14:paraId="71ABFB81" w14:textId="38F0293C" w:rsidR="00726C2F" w:rsidRDefault="00726C2F" w:rsidP="00726C2F">
      <w:r>
        <w:t xml:space="preserve">The </w:t>
      </w:r>
      <w:r w:rsidR="00851A60">
        <w:t>direct and indirect benefits</w:t>
      </w:r>
      <w:r>
        <w:t xml:space="preserve"> </w:t>
      </w:r>
      <w:r w:rsidRPr="00914030">
        <w:t>that would arise from a food regulatory measure developed as a result of th</w:t>
      </w:r>
      <w:r w:rsidR="003056C1">
        <w:t>is</w:t>
      </w:r>
      <w:r w:rsidRPr="00914030">
        <w:t xml:space="preserve"> </w:t>
      </w:r>
      <w:r w:rsidRPr="0095646F">
        <w:t xml:space="preserve">proposal </w:t>
      </w:r>
      <w:r w:rsidRPr="009F79A7">
        <w:t xml:space="preserve">outweigh the </w:t>
      </w:r>
      <w:r w:rsidR="00851A60" w:rsidRPr="009F79A7">
        <w:t>costs</w:t>
      </w:r>
      <w:r w:rsidRPr="009F79A7">
        <w:t xml:space="preserve"> to the community, Government or industry that would arise from the development of the food regulatory measure.</w:t>
      </w:r>
    </w:p>
    <w:p w14:paraId="06BFAFE8" w14:textId="77777777" w:rsidR="000877DD" w:rsidRDefault="000877DD" w:rsidP="00726C2F">
      <w:pPr>
        <w:rPr>
          <w:color w:val="00B050"/>
        </w:rPr>
      </w:pPr>
    </w:p>
    <w:p w14:paraId="02CC1D91" w14:textId="2BDD99B0" w:rsidR="000877DD" w:rsidRPr="007A23E0" w:rsidRDefault="000877DD" w:rsidP="000877DD">
      <w:r w:rsidRPr="007A23E0">
        <w:t xml:space="preserve">A </w:t>
      </w:r>
      <w:r w:rsidR="00403044">
        <w:t>CRIS</w:t>
      </w:r>
      <w:r w:rsidRPr="007A23E0">
        <w:t xml:space="preserve"> accompanies this call for submissions and assessment summary </w:t>
      </w:r>
      <w:r w:rsidR="009F1BCF" w:rsidRPr="00EE15F3">
        <w:t>(SD</w:t>
      </w:r>
      <w:r w:rsidR="00567F36">
        <w:t>1</w:t>
      </w:r>
      <w:r w:rsidRPr="00EE15F3">
        <w:t>).</w:t>
      </w:r>
      <w:r w:rsidRPr="007A23E0">
        <w:t xml:space="preserve"> It provides a qualitative cost benefit analysis using the information available to FSANZ for its assessment and decision to prepare a draft variation. Additional information from this call for submissions may enable FSANZ to undertake a more quantitative-based impact analysis of the options for the Decision </w:t>
      </w:r>
      <w:r w:rsidR="00403044">
        <w:t>regulation impact statement</w:t>
      </w:r>
      <w:r w:rsidRPr="007A23E0">
        <w:t xml:space="preserve">. This depends, however, on the quality of data/information received from affected parties. The information received may result in FSANZ arriving at a different outcome. </w:t>
      </w:r>
    </w:p>
    <w:p w14:paraId="6B9705AF" w14:textId="77777777" w:rsidR="000877DD" w:rsidRPr="007A23E0" w:rsidRDefault="000877DD" w:rsidP="000877DD"/>
    <w:p w14:paraId="1BC20BC1" w14:textId="1438C7AE" w:rsidR="000877DD" w:rsidRPr="00221B27" w:rsidRDefault="000877DD" w:rsidP="00726C2F">
      <w:r w:rsidRPr="00221B27">
        <w:t xml:space="preserve">The </w:t>
      </w:r>
      <w:r w:rsidR="00552FED">
        <w:t>C</w:t>
      </w:r>
      <w:r w:rsidRPr="00221B27">
        <w:t xml:space="preserve">RIS for this </w:t>
      </w:r>
      <w:r w:rsidR="00603257" w:rsidRPr="00221B27">
        <w:t>p</w:t>
      </w:r>
      <w:r w:rsidRPr="00221B27">
        <w:t xml:space="preserve">roposal was approved by the Office of Best Practice Regulation (OBPR) in </w:t>
      </w:r>
      <w:r w:rsidR="00455E42" w:rsidRPr="00221B27">
        <w:t xml:space="preserve">December </w:t>
      </w:r>
      <w:r w:rsidR="009F1BCF" w:rsidRPr="00221B27">
        <w:t>20</w:t>
      </w:r>
      <w:r w:rsidR="00EF1FC9" w:rsidRPr="00221B27">
        <w:t>21</w:t>
      </w:r>
      <w:r w:rsidRPr="00221B27">
        <w:t>.</w:t>
      </w:r>
    </w:p>
    <w:p w14:paraId="7E49BB5C" w14:textId="77777777" w:rsidR="009F1BCF" w:rsidRDefault="009F1BCF" w:rsidP="00726C2F">
      <w:pPr>
        <w:rPr>
          <w:color w:val="00B050"/>
        </w:rPr>
      </w:pPr>
    </w:p>
    <w:p w14:paraId="402038C5" w14:textId="5953D294" w:rsidR="00E75FC5" w:rsidRDefault="00A36DDE" w:rsidP="00A36DDE">
      <w:r w:rsidRPr="00A36DDE">
        <w:t>FSANZ considered several different risk management options, including the status quo</w:t>
      </w:r>
      <w:r w:rsidR="002054E7">
        <w:t>, self-regulation</w:t>
      </w:r>
      <w:r w:rsidRPr="00A36DDE">
        <w:t xml:space="preserve"> and the introduction of regulatory requirements. </w:t>
      </w:r>
      <w:r w:rsidR="00E75FC5">
        <w:t>Assumptions that underpin our cost benefi</w:t>
      </w:r>
      <w:r w:rsidR="001161A8">
        <w:t xml:space="preserve">t analysis are outlined in the </w:t>
      </w:r>
      <w:r w:rsidR="001161A8" w:rsidRPr="00EE15F3">
        <w:t>C</w:t>
      </w:r>
      <w:r w:rsidR="00E75FC5" w:rsidRPr="00EE15F3">
        <w:t>RIS (</w:t>
      </w:r>
      <w:r w:rsidR="00E4798F" w:rsidRPr="00EE15F3">
        <w:t>SD</w:t>
      </w:r>
      <w:r w:rsidR="00567F36">
        <w:t>1</w:t>
      </w:r>
      <w:r w:rsidR="00E75FC5" w:rsidRPr="00EE15F3">
        <w:t>).</w:t>
      </w:r>
      <w:r w:rsidR="00E75FC5">
        <w:t xml:space="preserve"> </w:t>
      </w:r>
      <w:r w:rsidR="002054E7">
        <w:t>The outcomes of the</w:t>
      </w:r>
      <w:r w:rsidR="002054E7" w:rsidRPr="00AE580F">
        <w:t xml:space="preserve"> cost benefit analysis </w:t>
      </w:r>
      <w:r w:rsidR="002054E7">
        <w:t>indicate that applying food regulatory measures in a tiered approach</w:t>
      </w:r>
      <w:r w:rsidR="002054E7" w:rsidRPr="00AE580F">
        <w:t xml:space="preserve"> based on food safety risk would provide </w:t>
      </w:r>
      <w:r w:rsidR="002054E7">
        <w:t>a strong</w:t>
      </w:r>
      <w:r w:rsidR="002054E7" w:rsidRPr="00AE580F">
        <w:t xml:space="preserve"> net benefit.</w:t>
      </w:r>
    </w:p>
    <w:p w14:paraId="18966803" w14:textId="40A72369" w:rsidR="002054E7" w:rsidRDefault="002054E7" w:rsidP="00A36DDE"/>
    <w:p w14:paraId="5C5CDB18" w14:textId="15A244EC" w:rsidR="002054E7" w:rsidRDefault="00F13F6D" w:rsidP="00C439D2">
      <w:r>
        <w:t xml:space="preserve">Any additional regulation is likely to impact food businesses, consumers and governments, as listed in Table </w:t>
      </w:r>
      <w:r w:rsidR="00C439D2">
        <w:t>5</w:t>
      </w:r>
      <w:r>
        <w:t xml:space="preserve"> below.</w:t>
      </w:r>
    </w:p>
    <w:p w14:paraId="042B3E42" w14:textId="77777777" w:rsidR="00C439D2" w:rsidRPr="00C439D2" w:rsidRDefault="00C439D2" w:rsidP="00C439D2"/>
    <w:p w14:paraId="5F477388" w14:textId="4AA21210" w:rsidR="00C439D2" w:rsidRPr="00C439D2" w:rsidRDefault="00C439D2" w:rsidP="00C439D2">
      <w:pPr>
        <w:pStyle w:val="Caption"/>
        <w:keepNext/>
        <w:rPr>
          <w:b/>
          <w:color w:val="auto"/>
        </w:rPr>
      </w:pPr>
      <w:r w:rsidRPr="00C439D2">
        <w:rPr>
          <w:b/>
          <w:color w:val="auto"/>
        </w:rPr>
        <w:t xml:space="preserve">Table </w:t>
      </w:r>
      <w:r w:rsidRPr="00C439D2">
        <w:rPr>
          <w:b/>
          <w:color w:val="auto"/>
        </w:rPr>
        <w:fldChar w:fldCharType="begin"/>
      </w:r>
      <w:r w:rsidRPr="00C439D2">
        <w:rPr>
          <w:b/>
          <w:color w:val="auto"/>
        </w:rPr>
        <w:instrText xml:space="preserve"> SEQ Table \* ARABIC </w:instrText>
      </w:r>
      <w:r w:rsidRPr="00C439D2">
        <w:rPr>
          <w:b/>
          <w:color w:val="auto"/>
        </w:rPr>
        <w:fldChar w:fldCharType="separate"/>
      </w:r>
      <w:r w:rsidR="00302799">
        <w:rPr>
          <w:b/>
          <w:noProof/>
          <w:color w:val="auto"/>
        </w:rPr>
        <w:t>5</w:t>
      </w:r>
      <w:r w:rsidRPr="00C439D2">
        <w:rPr>
          <w:b/>
          <w:color w:val="auto"/>
        </w:rPr>
        <w:fldChar w:fldCharType="end"/>
      </w:r>
      <w:r w:rsidRPr="00C439D2">
        <w:rPr>
          <w:b/>
          <w:color w:val="auto"/>
        </w:rPr>
        <w:t>: Impacts on affected parties</w:t>
      </w:r>
    </w:p>
    <w:tbl>
      <w:tblPr>
        <w:tblStyle w:val="GridTable1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253"/>
      </w:tblGrid>
      <w:tr w:rsidR="006C247A" w:rsidRPr="00103604" w14:paraId="2C0FB6E4" w14:textId="77777777" w:rsidTr="00C4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tcBorders>
              <w:bottom w:val="none" w:sz="0" w:space="0" w:color="auto"/>
            </w:tcBorders>
            <w:shd w:val="clear" w:color="auto" w:fill="D9D9D9" w:themeFill="background1" w:themeFillShade="D9"/>
          </w:tcPr>
          <w:p w14:paraId="6599EE7E" w14:textId="77777777" w:rsidR="006C247A" w:rsidRPr="00103604" w:rsidRDefault="006C247A" w:rsidP="008A3425">
            <w:r w:rsidRPr="00103604">
              <w:t xml:space="preserve">Social group </w:t>
            </w:r>
          </w:p>
        </w:tc>
        <w:tc>
          <w:tcPr>
            <w:tcW w:w="7253" w:type="dxa"/>
            <w:tcBorders>
              <w:bottom w:val="none" w:sz="0" w:space="0" w:color="auto"/>
            </w:tcBorders>
            <w:shd w:val="clear" w:color="auto" w:fill="D9D9D9" w:themeFill="background1" w:themeFillShade="D9"/>
          </w:tcPr>
          <w:p w14:paraId="5D5F4CBC" w14:textId="77777777" w:rsidR="006C247A" w:rsidRPr="00103604" w:rsidRDefault="006C247A" w:rsidP="008A3425">
            <w:pPr>
              <w:ind w:firstLine="127"/>
              <w:cnfStyle w:val="100000000000" w:firstRow="1" w:lastRow="0" w:firstColumn="0" w:lastColumn="0" w:oddVBand="0" w:evenVBand="0" w:oddHBand="0" w:evenHBand="0" w:firstRowFirstColumn="0" w:firstRowLastColumn="0" w:lastRowFirstColumn="0" w:lastRowLastColumn="0"/>
            </w:pPr>
            <w:r w:rsidRPr="00103604">
              <w:t>Notes on impacts</w:t>
            </w:r>
          </w:p>
        </w:tc>
      </w:tr>
      <w:tr w:rsidR="006C247A" w:rsidRPr="00103604" w14:paraId="5073946E" w14:textId="77777777" w:rsidTr="00C439D2">
        <w:tc>
          <w:tcPr>
            <w:cnfStyle w:val="001000000000" w:firstRow="0" w:lastRow="0" w:firstColumn="1" w:lastColumn="0" w:oddVBand="0" w:evenVBand="0" w:oddHBand="0" w:evenHBand="0" w:firstRowFirstColumn="0" w:firstRowLastColumn="0" w:lastRowFirstColumn="0" w:lastRowLastColumn="0"/>
            <w:tcW w:w="2523" w:type="dxa"/>
          </w:tcPr>
          <w:p w14:paraId="71E82690" w14:textId="77777777" w:rsidR="006C247A" w:rsidRPr="00103604" w:rsidRDefault="006C247A" w:rsidP="008A3425">
            <w:pPr>
              <w:rPr>
                <w:b w:val="0"/>
              </w:rPr>
            </w:pPr>
            <w:r w:rsidRPr="00103604">
              <w:rPr>
                <w:b w:val="0"/>
              </w:rPr>
              <w:t xml:space="preserve">1. </w:t>
            </w:r>
            <w:r>
              <w:rPr>
                <w:b w:val="0"/>
              </w:rPr>
              <w:t>Food businesses</w:t>
            </w:r>
          </w:p>
          <w:p w14:paraId="721C4511" w14:textId="77777777" w:rsidR="006C247A" w:rsidRPr="00103604" w:rsidRDefault="006C247A" w:rsidP="008A3425">
            <w:pPr>
              <w:rPr>
                <w:b w:val="0"/>
                <w:caps/>
              </w:rPr>
            </w:pPr>
          </w:p>
        </w:tc>
        <w:tc>
          <w:tcPr>
            <w:tcW w:w="7253" w:type="dxa"/>
          </w:tcPr>
          <w:p w14:paraId="4192869A"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 xml:space="preserve">Potentially increased </w:t>
            </w:r>
            <w:r>
              <w:t>operational</w:t>
            </w:r>
            <w:r w:rsidRPr="00103604">
              <w:t xml:space="preserve"> costs</w:t>
            </w:r>
          </w:p>
          <w:p w14:paraId="2D428B4D"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t>Cost savings from a r</w:t>
            </w:r>
            <w:r w:rsidRPr="00103604">
              <w:t>educ</w:t>
            </w:r>
            <w:r>
              <w:t>ed</w:t>
            </w:r>
            <w:r w:rsidRPr="00103604">
              <w:t xml:space="preserve"> risk of a food safety incident</w:t>
            </w:r>
          </w:p>
          <w:p w14:paraId="6CE6DC24"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capacity to effectively and efficiently manage</w:t>
            </w:r>
            <w:r>
              <w:t xml:space="preserve"> and respond to</w:t>
            </w:r>
            <w:r w:rsidRPr="00103604">
              <w:t xml:space="preserve"> a food safety incident, reducing costs</w:t>
            </w:r>
          </w:p>
          <w:p w14:paraId="6F9842BE"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lastRenderedPageBreak/>
              <w:t>Potential</w:t>
            </w:r>
            <w:r>
              <w:t>ly</w:t>
            </w:r>
            <w:r w:rsidRPr="00103604">
              <w:t xml:space="preserve"> ad</w:t>
            </w:r>
            <w:r>
              <w:t>ditional sales given higher quality food</w:t>
            </w:r>
          </w:p>
          <w:p w14:paraId="3F4561FE" w14:textId="77777777" w:rsidR="006C247A"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p w14:paraId="63CD278F"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t>Harmonised national regulation reduces costs for businesses that operate across multiple jurisdictions.</w:t>
            </w:r>
            <w:r w:rsidRPr="00103604">
              <w:t xml:space="preserve"> </w:t>
            </w:r>
          </w:p>
        </w:tc>
      </w:tr>
      <w:tr w:rsidR="006C247A" w:rsidRPr="00103604" w14:paraId="47BDBEEF" w14:textId="77777777" w:rsidTr="00C439D2">
        <w:tc>
          <w:tcPr>
            <w:cnfStyle w:val="001000000000" w:firstRow="0" w:lastRow="0" w:firstColumn="1" w:lastColumn="0" w:oddVBand="0" w:evenVBand="0" w:oddHBand="0" w:evenHBand="0" w:firstRowFirstColumn="0" w:firstRowLastColumn="0" w:lastRowFirstColumn="0" w:lastRowLastColumn="0"/>
            <w:tcW w:w="2523" w:type="dxa"/>
          </w:tcPr>
          <w:p w14:paraId="7D1226FC" w14:textId="77777777" w:rsidR="006C247A" w:rsidRPr="00103604" w:rsidRDefault="006C247A" w:rsidP="008A3425">
            <w:pPr>
              <w:rPr>
                <w:b w:val="0"/>
              </w:rPr>
            </w:pPr>
            <w:r>
              <w:rPr>
                <w:b w:val="0"/>
              </w:rPr>
              <w:lastRenderedPageBreak/>
              <w:t>2</w:t>
            </w:r>
            <w:r w:rsidRPr="00103604">
              <w:rPr>
                <w:b w:val="0"/>
              </w:rPr>
              <w:t>. Food consumers</w:t>
            </w:r>
          </w:p>
        </w:tc>
        <w:tc>
          <w:tcPr>
            <w:tcW w:w="7253" w:type="dxa"/>
          </w:tcPr>
          <w:p w14:paraId="3C6E8862"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safety of products reduc</w:t>
            </w:r>
            <w:r>
              <w:t>ing</w:t>
            </w:r>
            <w:r w:rsidRPr="00103604">
              <w:t xml:space="preserve"> likelihood of illness</w:t>
            </w:r>
          </w:p>
          <w:p w14:paraId="7772F4BC" w14:textId="77777777" w:rsidR="006C247A"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increased costs of purchase</w:t>
            </w:r>
          </w:p>
          <w:p w14:paraId="1023C809"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t>Potentially higher quality food available</w:t>
            </w:r>
          </w:p>
        </w:tc>
      </w:tr>
      <w:tr w:rsidR="006C247A" w:rsidRPr="00103604" w14:paraId="67DE191A" w14:textId="77777777" w:rsidTr="00C439D2">
        <w:tc>
          <w:tcPr>
            <w:cnfStyle w:val="001000000000" w:firstRow="0" w:lastRow="0" w:firstColumn="1" w:lastColumn="0" w:oddVBand="0" w:evenVBand="0" w:oddHBand="0" w:evenHBand="0" w:firstRowFirstColumn="0" w:firstRowLastColumn="0" w:lastRowFirstColumn="0" w:lastRowLastColumn="0"/>
            <w:tcW w:w="2523" w:type="dxa"/>
          </w:tcPr>
          <w:p w14:paraId="5552C378" w14:textId="77777777" w:rsidR="006C247A" w:rsidRPr="00103604" w:rsidRDefault="006C247A" w:rsidP="008A3425">
            <w:pPr>
              <w:rPr>
                <w:b w:val="0"/>
              </w:rPr>
            </w:pPr>
            <w:r>
              <w:rPr>
                <w:b w:val="0"/>
              </w:rPr>
              <w:t>3</w:t>
            </w:r>
            <w:r w:rsidRPr="00103604">
              <w:rPr>
                <w:b w:val="0"/>
              </w:rPr>
              <w:t>. Government</w:t>
            </w:r>
          </w:p>
        </w:tc>
        <w:tc>
          <w:tcPr>
            <w:tcW w:w="7253" w:type="dxa"/>
          </w:tcPr>
          <w:p w14:paraId="6321BAF8"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Potentially increased </w:t>
            </w:r>
            <w:r w:rsidRPr="00103604">
              <w:t>implementation and enforcement cost</w:t>
            </w:r>
            <w:r>
              <w:t>s for</w:t>
            </w:r>
            <w:r w:rsidRPr="00103604">
              <w:t xml:space="preserve"> new regulation</w:t>
            </w:r>
            <w:r>
              <w:t xml:space="preserve"> </w:t>
            </w:r>
          </w:p>
          <w:p w14:paraId="200E96E9"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capacity to effectively and efficiently manage a food safety incident, reducing costs</w:t>
            </w:r>
          </w:p>
          <w:p w14:paraId="6AC021D0" w14:textId="77777777" w:rsidR="006C247A" w:rsidRPr="00103604" w:rsidRDefault="006C247A" w:rsidP="006C247A">
            <w:pPr>
              <w:widowControl/>
              <w:numPr>
                <w:ilvl w:val="0"/>
                <w:numId w:val="35"/>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Savings in health care expenditure</w:t>
            </w:r>
          </w:p>
        </w:tc>
      </w:tr>
    </w:tbl>
    <w:p w14:paraId="06FF629A" w14:textId="173C4B2E" w:rsidR="00726C2F" w:rsidRDefault="00726C2F" w:rsidP="00E4793B">
      <w:pPr>
        <w:pStyle w:val="Heading3"/>
      </w:pPr>
      <w:bookmarkStart w:id="56" w:name="_Toc94172666"/>
      <w:r>
        <w:t>Other measures</w:t>
      </w:r>
      <w:bookmarkEnd w:id="56"/>
    </w:p>
    <w:p w14:paraId="0E765A3B" w14:textId="491161DD"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effective than a food regulatory measure developed or varied as a result of the </w:t>
      </w:r>
      <w:r w:rsidR="00603257" w:rsidRPr="00161E78">
        <w:t>p</w:t>
      </w:r>
      <w:r w:rsidRPr="00161E78">
        <w:t>roposal.</w:t>
      </w:r>
      <w:r w:rsidR="00D075FA">
        <w:t xml:space="preserve"> Our assessment of all potential options is </w:t>
      </w:r>
      <w:r w:rsidR="00D075FA" w:rsidRPr="00FC252D">
        <w:t>in SD</w:t>
      </w:r>
      <w:r w:rsidR="00567F36" w:rsidRPr="00FC252D">
        <w:t>1</w:t>
      </w:r>
      <w:r w:rsidR="00D075FA" w:rsidRPr="00FC252D">
        <w:t>.</w:t>
      </w:r>
    </w:p>
    <w:p w14:paraId="6D704A52" w14:textId="065190E8" w:rsidR="00726C2F" w:rsidRDefault="008B0075" w:rsidP="00E4793B">
      <w:pPr>
        <w:pStyle w:val="Heading3"/>
      </w:pPr>
      <w:bookmarkStart w:id="57" w:name="_Toc94172667"/>
      <w:r>
        <w:t>A</w:t>
      </w:r>
      <w:r w:rsidR="00726C2F" w:rsidRPr="00914030">
        <w:t>ny relevant New Zealand standards</w:t>
      </w:r>
      <w:bookmarkEnd w:id="57"/>
    </w:p>
    <w:p w14:paraId="140CA078" w14:textId="10B92A91" w:rsidR="009F4F42" w:rsidRDefault="00D075FA" w:rsidP="00DC2A92">
      <w:r>
        <w:t>This proposal relates to Chapter 3 of the Code which appl</w:t>
      </w:r>
      <w:r w:rsidR="00EE7167">
        <w:t>ies</w:t>
      </w:r>
      <w:r>
        <w:t xml:space="preserve"> to Australia only. The amendments made by the draft variation, if approved, will not </w:t>
      </w:r>
      <w:r w:rsidR="002C725C">
        <w:t>apply</w:t>
      </w:r>
      <w:r>
        <w:t xml:space="preserve"> in New Zealand. No relevant New Zealand standards were been identified in assessing the Proposal. </w:t>
      </w:r>
    </w:p>
    <w:p w14:paraId="39FF6F52" w14:textId="249B6917" w:rsidR="00726C2F" w:rsidRPr="00914030" w:rsidRDefault="0027513D" w:rsidP="00DC2A92">
      <w:pPr>
        <w:pStyle w:val="Heading3"/>
      </w:pPr>
      <w:bookmarkStart w:id="58" w:name="_Toc94172668"/>
      <w:r>
        <w:t>A</w:t>
      </w:r>
      <w:r w:rsidR="00BE3818">
        <w:t>ny other relevant matters</w:t>
      </w:r>
      <w:bookmarkEnd w:id="58"/>
    </w:p>
    <w:p w14:paraId="3201FD11" w14:textId="55A68840" w:rsidR="0028047F" w:rsidRDefault="0028047F" w:rsidP="00277BA5">
      <w:r>
        <w:t>Other relevant matters are considered in section 8.2 and 8.3 below</w:t>
      </w:r>
      <w:r w:rsidR="00C51314">
        <w:t>.</w:t>
      </w:r>
    </w:p>
    <w:p w14:paraId="65FB49E1" w14:textId="77777777" w:rsidR="0028047F" w:rsidRDefault="0028047F" w:rsidP="00277BA5"/>
    <w:p w14:paraId="75639412" w14:textId="77777777" w:rsidR="00D075FA" w:rsidRPr="00D075FA" w:rsidRDefault="00D075FA" w:rsidP="00D075FA">
      <w:r w:rsidRPr="00D075FA">
        <w:t>In assessing P1053, FSANZ also had regard to the following:</w:t>
      </w:r>
    </w:p>
    <w:p w14:paraId="0834764C" w14:textId="77777777" w:rsidR="00D075FA" w:rsidRPr="00D075FA" w:rsidRDefault="00D075FA" w:rsidP="00D075FA">
      <w:pPr>
        <w:numPr>
          <w:ilvl w:val="0"/>
          <w:numId w:val="7"/>
        </w:numPr>
      </w:pPr>
      <w:r w:rsidRPr="00D075FA">
        <w:t xml:space="preserve">the recommendations of the food safety management working group and </w:t>
      </w:r>
    </w:p>
    <w:p w14:paraId="5FAAE98B" w14:textId="77777777" w:rsidR="00D075FA" w:rsidRPr="00D075FA" w:rsidRDefault="00D075FA" w:rsidP="00D075FA">
      <w:pPr>
        <w:numPr>
          <w:ilvl w:val="0"/>
          <w:numId w:val="7"/>
        </w:numPr>
      </w:pPr>
      <w:r w:rsidRPr="00D075FA">
        <w:t>the subsequent request by Ministers to consider the potential regulatory measures</w:t>
      </w:r>
      <w:r w:rsidRPr="00D075FA">
        <w:rPr>
          <w:vertAlign w:val="superscript"/>
        </w:rPr>
        <w:footnoteRef/>
      </w:r>
      <w:r w:rsidRPr="00D075FA">
        <w:t xml:space="preserve">. </w:t>
      </w:r>
    </w:p>
    <w:p w14:paraId="3ACE7295" w14:textId="77777777" w:rsidR="00D075FA" w:rsidRPr="00D075FA" w:rsidRDefault="00D075FA" w:rsidP="00D075FA"/>
    <w:p w14:paraId="1BD4C8DD" w14:textId="1CD55B12" w:rsidR="008B5567" w:rsidRDefault="00D075FA" w:rsidP="00BE3818">
      <w:r w:rsidRPr="00D075FA">
        <w:t>While FSANZ had regard to the latter in its assessment (to the extent that they are relevant), they were not the only matters taken into account and we made our own independent assessment in accordance with the FSANZ Act.</w:t>
      </w:r>
    </w:p>
    <w:p w14:paraId="74767E03" w14:textId="7FADEA1A" w:rsidR="00022DBC" w:rsidRPr="00914030" w:rsidRDefault="00BE3818" w:rsidP="000550EF">
      <w:pPr>
        <w:pStyle w:val="Heading2"/>
        <w:ind w:left="567"/>
      </w:pPr>
      <w:bookmarkStart w:id="59" w:name="_Toc94172669"/>
      <w:bookmarkStart w:id="60" w:name="_Toc300761897"/>
      <w:bookmarkStart w:id="61" w:name="_Toc300933440"/>
      <w:r>
        <w:lastRenderedPageBreak/>
        <w:t>Subsection 18(1)</w:t>
      </w:r>
      <w:bookmarkEnd w:id="59"/>
      <w:r>
        <w:t xml:space="preserve"> </w:t>
      </w:r>
      <w:bookmarkEnd w:id="60"/>
      <w:bookmarkEnd w:id="61"/>
    </w:p>
    <w:p w14:paraId="47705325" w14:textId="4AF8858F" w:rsidR="00277BA5" w:rsidRPr="00914030" w:rsidRDefault="00022DBC" w:rsidP="00022DBC">
      <w:r w:rsidRPr="00914030">
        <w:rPr>
          <w:rFonts w:cs="Arial"/>
        </w:rPr>
        <w:t xml:space="preserve">FSANZ has </w:t>
      </w:r>
      <w:r w:rsidRPr="00914030">
        <w:t xml:space="preserve">considered the three objectives in subsection 18(1) of the </w:t>
      </w:r>
      <w:r>
        <w:t>FSANZ Act during the assessment.</w:t>
      </w:r>
    </w:p>
    <w:p w14:paraId="5D1018EC" w14:textId="76FA7D41" w:rsidR="00022DBC" w:rsidRPr="00914030" w:rsidRDefault="00022DBC" w:rsidP="00E4793B">
      <w:pPr>
        <w:pStyle w:val="Heading3"/>
      </w:pPr>
      <w:bookmarkStart w:id="62" w:name="_Toc297029117"/>
      <w:bookmarkStart w:id="63" w:name="_Toc300761898"/>
      <w:bookmarkStart w:id="64" w:name="_Toc300933441"/>
      <w:bookmarkStart w:id="65" w:name="_Toc94172670"/>
      <w:r w:rsidRPr="00914030">
        <w:t>Protection of public health and safety</w:t>
      </w:r>
      <w:bookmarkEnd w:id="62"/>
      <w:bookmarkEnd w:id="63"/>
      <w:bookmarkEnd w:id="64"/>
      <w:bookmarkEnd w:id="65"/>
    </w:p>
    <w:p w14:paraId="70FA07B4" w14:textId="500A1085" w:rsidR="00E74061" w:rsidRDefault="00E74061" w:rsidP="00022DBC">
      <w:r>
        <w:t xml:space="preserve">FSANZ considers that preparing the draft </w:t>
      </w:r>
      <w:r w:rsidR="007A23E0">
        <w:t xml:space="preserve">standard </w:t>
      </w:r>
      <w:r>
        <w:t>is consistent with this objective.</w:t>
      </w:r>
    </w:p>
    <w:p w14:paraId="5E8CE888" w14:textId="0B0ADA14" w:rsidR="00E74061" w:rsidRDefault="00E74061" w:rsidP="00022DBC"/>
    <w:p w14:paraId="1465295A" w14:textId="6800F9FF" w:rsidR="001B6E16" w:rsidRPr="00971B55" w:rsidRDefault="00DC2FE4" w:rsidP="00DC2FE4">
      <w:r w:rsidRPr="001B6E16">
        <w:t xml:space="preserve">FSANZ assessed the </w:t>
      </w:r>
      <w:r w:rsidR="007A23E0">
        <w:t xml:space="preserve">best </w:t>
      </w:r>
      <w:r w:rsidRPr="001B6E16">
        <w:t>available evidence and information on the food safety risks</w:t>
      </w:r>
      <w:r w:rsidR="007A23E0">
        <w:t xml:space="preserve"> and current</w:t>
      </w:r>
      <w:r w:rsidRPr="001B6E16">
        <w:t xml:space="preserve"> risk management measures </w:t>
      </w:r>
      <w:r w:rsidR="001B6E16" w:rsidRPr="001B6E16">
        <w:t xml:space="preserve">applied to </w:t>
      </w:r>
      <w:r w:rsidR="007A23E0">
        <w:t xml:space="preserve">food handling activities in the </w:t>
      </w:r>
      <w:r w:rsidR="001B6E16" w:rsidRPr="001B6E16">
        <w:t>food service and retail businesses</w:t>
      </w:r>
      <w:r w:rsidRPr="001B6E16">
        <w:t xml:space="preserve">. Several significant foodborne illness outbreaks associated with </w:t>
      </w:r>
      <w:r w:rsidR="001B6E16" w:rsidRPr="001B6E16">
        <w:t>these sectors</w:t>
      </w:r>
      <w:r w:rsidRPr="001B6E16">
        <w:t xml:space="preserve"> have occurred </w:t>
      </w:r>
      <w:r w:rsidRPr="00971B55">
        <w:t>between 20</w:t>
      </w:r>
      <w:r w:rsidR="00971B55" w:rsidRPr="00971B55">
        <w:t>10 and 2017</w:t>
      </w:r>
      <w:r w:rsidRPr="00971B55">
        <w:t xml:space="preserve"> which resulted in </w:t>
      </w:r>
      <w:r w:rsidR="00971B55" w:rsidRPr="00971B55">
        <w:rPr>
          <w:rFonts w:cs="Arial"/>
        </w:rPr>
        <w:t xml:space="preserve">9497 </w:t>
      </w:r>
      <w:r w:rsidRPr="00971B55">
        <w:t>cases of illness</w:t>
      </w:r>
      <w:r w:rsidR="00971B55" w:rsidRPr="00971B55">
        <w:t xml:space="preserve">, </w:t>
      </w:r>
      <w:r w:rsidR="00971B55" w:rsidRPr="00971B55">
        <w:rPr>
          <w:rFonts w:cs="Arial"/>
        </w:rPr>
        <w:t>1914 hospitalisations</w:t>
      </w:r>
      <w:r w:rsidRPr="00971B55">
        <w:t xml:space="preserve"> and </w:t>
      </w:r>
      <w:r w:rsidR="00971B55" w:rsidRPr="00971B55">
        <w:t>56 reported fatalities</w:t>
      </w:r>
      <w:r w:rsidRPr="00971B55">
        <w:t xml:space="preserve">. </w:t>
      </w:r>
    </w:p>
    <w:p w14:paraId="4100F42C" w14:textId="77777777" w:rsidR="001B6E16" w:rsidRPr="00971B55" w:rsidRDefault="001B6E16" w:rsidP="00DC2FE4"/>
    <w:p w14:paraId="3A5CD874" w14:textId="5A6E1B04" w:rsidR="00E74061" w:rsidRPr="00971B55" w:rsidRDefault="00161E78" w:rsidP="00022DBC">
      <w:r>
        <w:t>A</w:t>
      </w:r>
      <w:r w:rsidR="001B6E16" w:rsidRPr="00971B55">
        <w:t xml:space="preserve">ll food businesses in Australia are required to comply with food safety requirements in Chapter 3 of the Code, along with relevant requirements in </w:t>
      </w:r>
      <w:r>
        <w:t xml:space="preserve">jurisdictional Food Acts. However, </w:t>
      </w:r>
      <w:r w:rsidR="001B6E16" w:rsidRPr="00971B55">
        <w:t>t</w:t>
      </w:r>
      <w:r w:rsidR="00DC2FE4" w:rsidRPr="00971B55">
        <w:t>h</w:t>
      </w:r>
      <w:r w:rsidR="007A23E0" w:rsidRPr="00971B55">
        <w:t>e contin</w:t>
      </w:r>
      <w:r>
        <w:t xml:space="preserve">ued </w:t>
      </w:r>
      <w:r w:rsidR="007A23E0" w:rsidRPr="00971B55">
        <w:t>incidence of foodborne illness linked to the</w:t>
      </w:r>
      <w:r>
        <w:t>se</w:t>
      </w:r>
      <w:r w:rsidR="007A23E0" w:rsidRPr="00971B55">
        <w:t xml:space="preserve"> sector</w:t>
      </w:r>
      <w:r>
        <w:t>s</w:t>
      </w:r>
      <w:r w:rsidR="00DC2FE4" w:rsidRPr="00971B55">
        <w:t xml:space="preserve"> suggests</w:t>
      </w:r>
      <w:r w:rsidR="00C81835" w:rsidRPr="00971B55">
        <w:t xml:space="preserve">, for these food handling activities, </w:t>
      </w:r>
      <w:r w:rsidR="001B6E16" w:rsidRPr="00971B55">
        <w:t xml:space="preserve">the minimum requirements </w:t>
      </w:r>
      <w:r w:rsidR="007A23E0" w:rsidRPr="00971B55">
        <w:t xml:space="preserve">of </w:t>
      </w:r>
      <w:r w:rsidR="00481687">
        <w:t>C</w:t>
      </w:r>
      <w:r w:rsidR="007A23E0" w:rsidRPr="00971B55">
        <w:t xml:space="preserve">hapter 3 </w:t>
      </w:r>
      <w:r w:rsidR="001B6E16" w:rsidRPr="00971B55">
        <w:t>alone</w:t>
      </w:r>
      <w:r w:rsidR="00DC2FE4" w:rsidRPr="00971B55">
        <w:t xml:space="preserve"> may not </w:t>
      </w:r>
      <w:r w:rsidR="001B6E16" w:rsidRPr="00971B55">
        <w:t>appropriately</w:t>
      </w:r>
      <w:r w:rsidR="00DC2FE4" w:rsidRPr="00971B55">
        <w:t xml:space="preserve"> address food safety risks and protect public health and safety.</w:t>
      </w:r>
    </w:p>
    <w:p w14:paraId="35D84923" w14:textId="4E0F8B3E" w:rsidR="00F11250" w:rsidRPr="00971B55" w:rsidRDefault="00F11250" w:rsidP="00022DBC"/>
    <w:p w14:paraId="455DA576" w14:textId="2F92D2E6" w:rsidR="00F11250" w:rsidRPr="00BE3818" w:rsidRDefault="00F11250" w:rsidP="00022DBC">
      <w:pPr>
        <w:rPr>
          <w:color w:val="00B050"/>
        </w:rPr>
      </w:pPr>
      <w:r w:rsidRPr="00971B55">
        <w:rPr>
          <w:lang w:eastAsia="en-AU"/>
        </w:rPr>
        <w:t>Implementing a nationally consistent suite of food safety management tools will</w:t>
      </w:r>
      <w:r w:rsidR="00C1689F">
        <w:rPr>
          <w:lang w:eastAsia="en-AU"/>
        </w:rPr>
        <w:t xml:space="preserve"> help a business better manage these risks, reducing likelihood of consumers getting sick from consumption of food in these settings </w:t>
      </w:r>
      <w:r w:rsidR="008A62ED">
        <w:rPr>
          <w:lang w:eastAsia="en-AU"/>
        </w:rPr>
        <w:t>(SD</w:t>
      </w:r>
      <w:r w:rsidR="00567F36">
        <w:rPr>
          <w:lang w:eastAsia="en-AU"/>
        </w:rPr>
        <w:t>1</w:t>
      </w:r>
      <w:r w:rsidR="008A62ED">
        <w:rPr>
          <w:lang w:eastAsia="en-AU"/>
        </w:rPr>
        <w:t>)</w:t>
      </w:r>
      <w:r w:rsidRPr="00971B55">
        <w:rPr>
          <w:lang w:eastAsia="en-AU"/>
        </w:rPr>
        <w:t>. This intervention is intended to be preventive rather than reactive in nature, given the compliance and enforcement powers already available in each jurisdiction.</w:t>
      </w:r>
    </w:p>
    <w:p w14:paraId="04199EC5" w14:textId="634CAA2D" w:rsidR="00022DBC" w:rsidRPr="00914030" w:rsidRDefault="00022DBC" w:rsidP="00E4793B">
      <w:pPr>
        <w:pStyle w:val="Heading3"/>
      </w:pPr>
      <w:bookmarkStart w:id="66" w:name="_Toc300761899"/>
      <w:bookmarkStart w:id="67" w:name="_Toc300933442"/>
      <w:bookmarkStart w:id="68" w:name="_Toc94172671"/>
      <w:r w:rsidRPr="00914030">
        <w:t>The provision of adequate information relating to food to enable consumers to make informed choices</w:t>
      </w:r>
      <w:bookmarkEnd w:id="66"/>
      <w:bookmarkEnd w:id="67"/>
      <w:bookmarkEnd w:id="68"/>
    </w:p>
    <w:p w14:paraId="7271F463" w14:textId="41B30F01" w:rsidR="00277BA5" w:rsidRDefault="00DC2FE4" w:rsidP="00022DBC">
      <w:r>
        <w:t xml:space="preserve">FSANZ considers </w:t>
      </w:r>
      <w:r w:rsidR="005628DC">
        <w:t xml:space="preserve">this </w:t>
      </w:r>
      <w:r w:rsidR="001812F9">
        <w:t xml:space="preserve">objective is </w:t>
      </w:r>
      <w:r w:rsidR="005628DC">
        <w:t xml:space="preserve">not directly relevant to this </w:t>
      </w:r>
      <w:r w:rsidR="00D075FA">
        <w:t>proposal</w:t>
      </w:r>
      <w:r w:rsidR="005628DC">
        <w:t>. Providing</w:t>
      </w:r>
      <w:r>
        <w:t xml:space="preserve"> information </w:t>
      </w:r>
      <w:r w:rsidR="00481687">
        <w:t>to consumers about</w:t>
      </w:r>
      <w:r>
        <w:t xml:space="preserve"> </w:t>
      </w:r>
      <w:r w:rsidR="00481687">
        <w:t xml:space="preserve">safe </w:t>
      </w:r>
      <w:r>
        <w:t>food</w:t>
      </w:r>
      <w:r w:rsidR="00481687">
        <w:t xml:space="preserve"> practices</w:t>
      </w:r>
      <w:r>
        <w:t xml:space="preserve"> </w:t>
      </w:r>
      <w:r w:rsidR="00481687">
        <w:t xml:space="preserve">in these settings </w:t>
      </w:r>
      <w:r>
        <w:t>is not</w:t>
      </w:r>
      <w:r w:rsidR="00481687">
        <w:t xml:space="preserve"> likely to </w:t>
      </w:r>
      <w:r w:rsidR="005628DC">
        <w:t>reduce</w:t>
      </w:r>
      <w:r w:rsidR="00481687">
        <w:t xml:space="preserve"> </w:t>
      </w:r>
      <w:r w:rsidR="005628DC">
        <w:t>foodborne illness</w:t>
      </w:r>
      <w:r w:rsidR="00D075FA">
        <w:t xml:space="preserve"> (discussed i</w:t>
      </w:r>
      <w:r w:rsidR="00D075FA" w:rsidRPr="00FC252D">
        <w:t xml:space="preserve">n </w:t>
      </w:r>
      <w:r w:rsidR="00567F36" w:rsidRPr="00FC252D">
        <w:t>SD1</w:t>
      </w:r>
      <w:r w:rsidR="00D075FA" w:rsidRPr="00FC252D">
        <w:t>)</w:t>
      </w:r>
      <w:r w:rsidRPr="00FC252D">
        <w:t>.</w:t>
      </w:r>
    </w:p>
    <w:p w14:paraId="3F7093C2" w14:textId="1C405957" w:rsidR="00022DBC" w:rsidRPr="00914030" w:rsidRDefault="00022DBC" w:rsidP="00E4793B">
      <w:pPr>
        <w:pStyle w:val="Heading3"/>
      </w:pPr>
      <w:bookmarkStart w:id="69" w:name="_Toc300761900"/>
      <w:bookmarkStart w:id="70" w:name="_Toc300933443"/>
      <w:bookmarkStart w:id="71" w:name="_Toc94172672"/>
      <w:r w:rsidRPr="00914030">
        <w:lastRenderedPageBreak/>
        <w:t>The prevention of misleading or deceptive conduct</w:t>
      </w:r>
      <w:bookmarkEnd w:id="69"/>
      <w:bookmarkEnd w:id="70"/>
      <w:bookmarkEnd w:id="71"/>
    </w:p>
    <w:p w14:paraId="6EC4ABC8" w14:textId="28AEF30E" w:rsidR="00DC2FE4" w:rsidRPr="002B3EEA" w:rsidRDefault="00DC2FE4" w:rsidP="00DC2FE4">
      <w:pPr>
        <w:rPr>
          <w:lang w:bidi="ar-SA"/>
        </w:rPr>
      </w:pPr>
      <w:r>
        <w:rPr>
          <w:lang w:bidi="ar-SA"/>
        </w:rPr>
        <w:t>FSANZ has not identified any issues relevant to this matter.</w:t>
      </w:r>
    </w:p>
    <w:p w14:paraId="4A49277A" w14:textId="7D9803A4" w:rsidR="00022DBC" w:rsidRPr="00914030" w:rsidRDefault="00022DBC" w:rsidP="00A00A5C">
      <w:pPr>
        <w:pStyle w:val="Heading2"/>
        <w:ind w:left="567"/>
      </w:pPr>
      <w:bookmarkStart w:id="72" w:name="_Toc300761901"/>
      <w:bookmarkStart w:id="73" w:name="_Toc300933444"/>
      <w:bookmarkStart w:id="74" w:name="_Toc94172673"/>
      <w:r w:rsidRPr="00914030">
        <w:t xml:space="preserve">Subsection 18(2) </w:t>
      </w:r>
      <w:bookmarkEnd w:id="72"/>
      <w:bookmarkEnd w:id="73"/>
      <w:r w:rsidRPr="00E4793B">
        <w:t>considerations</w:t>
      </w:r>
      <w:bookmarkEnd w:id="74"/>
    </w:p>
    <w:p w14:paraId="737C5E17" w14:textId="46D82C77" w:rsidR="00022DBC" w:rsidRPr="00914030" w:rsidRDefault="00022DBC" w:rsidP="00022DBC">
      <w:pPr>
        <w:rPr>
          <w:rFonts w:cs="Arial"/>
        </w:rPr>
      </w:pPr>
      <w:r w:rsidRPr="00914030">
        <w:rPr>
          <w:rFonts w:cs="Arial"/>
        </w:rPr>
        <w:t>FSANZ has also had regard to</w:t>
      </w:r>
      <w:r w:rsidR="00E4793B">
        <w:rPr>
          <w:rFonts w:cs="Arial"/>
        </w:rPr>
        <w:t xml:space="preserve"> the following considerations under subsection 18(2)</w:t>
      </w:r>
      <w:r w:rsidRPr="00914030">
        <w:rPr>
          <w:rFonts w:cs="Arial"/>
        </w:rPr>
        <w:t>:</w:t>
      </w:r>
    </w:p>
    <w:p w14:paraId="0024E25C" w14:textId="52EA57D4" w:rsidR="00022DBC" w:rsidRPr="008828D9" w:rsidRDefault="00E4793B" w:rsidP="00E4793B">
      <w:pPr>
        <w:pStyle w:val="Heading3"/>
      </w:pPr>
      <w:bookmarkStart w:id="75" w:name="_Toc94172674"/>
      <w:r>
        <w:t>T</w:t>
      </w:r>
      <w:r w:rsidR="00022DBC" w:rsidRPr="008828D9">
        <w:t>he need for standards to be based on risk analysis using the best available scientific evidence</w:t>
      </w:r>
      <w:bookmarkEnd w:id="75"/>
    </w:p>
    <w:p w14:paraId="522F96E3" w14:textId="6653B139" w:rsidR="0094187F" w:rsidRDefault="0094187F" w:rsidP="0094187F">
      <w:pPr>
        <w:keepLines/>
      </w:pPr>
      <w:r w:rsidRPr="00D90680">
        <w:t>Th</w:t>
      </w:r>
      <w:r w:rsidR="00C22877">
        <w:t>e FSANZ P1</w:t>
      </w:r>
      <w:r>
        <w:t xml:space="preserve">053 </w:t>
      </w:r>
      <w:r w:rsidR="00C22877">
        <w:t xml:space="preserve">risk </w:t>
      </w:r>
      <w:r>
        <w:t xml:space="preserve">assessment </w:t>
      </w:r>
      <w:r w:rsidRPr="00D90680">
        <w:t>profile</w:t>
      </w:r>
      <w:r>
        <w:t>s</w:t>
      </w:r>
      <w:r w:rsidRPr="00D90680">
        <w:t xml:space="preserve"> risks to public health and safety </w:t>
      </w:r>
      <w:r>
        <w:t xml:space="preserve">associated with Australian </w:t>
      </w:r>
      <w:r w:rsidRPr="00D90680">
        <w:t>food service and r</w:t>
      </w:r>
      <w:r>
        <w:t xml:space="preserve">elated food retail businesses. </w:t>
      </w:r>
      <w:r w:rsidR="00161E78">
        <w:t xml:space="preserve">FSANZ uses several </w:t>
      </w:r>
      <w:r w:rsidRPr="00D90680">
        <w:t>tools to assess risks to public health and safety, including risk profiling</w:t>
      </w:r>
      <w:r w:rsidRPr="00D90680">
        <w:rPr>
          <w:rStyle w:val="FootnoteReference"/>
        </w:rPr>
        <w:footnoteReference w:id="19"/>
      </w:r>
      <w:r w:rsidRPr="00D90680">
        <w:t>, quantitative and qualitative risk assessments</w:t>
      </w:r>
      <w:r w:rsidRPr="00D90680">
        <w:rPr>
          <w:rStyle w:val="FootnoteReference"/>
        </w:rPr>
        <w:footnoteReference w:id="20"/>
      </w:r>
      <w:r>
        <w:t xml:space="preserve"> and scientific evaluations. </w:t>
      </w:r>
      <w:r w:rsidRPr="00D90680">
        <w:t xml:space="preserve">The application of these tools to the assessment of the risks to public health and safety </w:t>
      </w:r>
      <w:r>
        <w:t>utilised the best available evidence</w:t>
      </w:r>
      <w:r w:rsidRPr="00D90680">
        <w:t>.</w:t>
      </w:r>
    </w:p>
    <w:p w14:paraId="5E6E6B53" w14:textId="7077DF34" w:rsidR="00022DBC" w:rsidRPr="008828D9" w:rsidRDefault="00E4793B" w:rsidP="00E4793B">
      <w:pPr>
        <w:pStyle w:val="Heading3"/>
      </w:pPr>
      <w:bookmarkStart w:id="76" w:name="_Toc94172675"/>
      <w:r>
        <w:t>T</w:t>
      </w:r>
      <w:r w:rsidR="00022DBC" w:rsidRPr="008828D9">
        <w:t>he promotion of consistency between domestic and international food standards</w:t>
      </w:r>
      <w:bookmarkEnd w:id="76"/>
    </w:p>
    <w:p w14:paraId="131BD474" w14:textId="1A0722AA" w:rsidR="00DC2FE4" w:rsidRPr="00E4793B" w:rsidRDefault="00DC2FE4" w:rsidP="008828D9">
      <w:r w:rsidRPr="00277BA5">
        <w:t xml:space="preserve">There is considerable variation in international legislation for food safety management in the food service and retail sectors. FSANZ has considered </w:t>
      </w:r>
      <w:r w:rsidR="0059131A">
        <w:t>international s</w:t>
      </w:r>
      <w:r w:rsidR="00277BA5" w:rsidRPr="00277BA5">
        <w:t xml:space="preserve">tandards, including those of Codex, </w:t>
      </w:r>
      <w:r w:rsidR="00E4793B">
        <w:t>in the assessment</w:t>
      </w:r>
      <w:r w:rsidR="00D075FA">
        <w:t xml:space="preserve"> (further discussed in SD</w:t>
      </w:r>
      <w:r w:rsidR="00567F36">
        <w:t>1</w:t>
      </w:r>
      <w:r w:rsidR="00D075FA">
        <w:t>)</w:t>
      </w:r>
      <w:r w:rsidR="00E4793B">
        <w:t>.</w:t>
      </w:r>
    </w:p>
    <w:p w14:paraId="3F3B9D14" w14:textId="1FB77E2D" w:rsidR="00022DBC" w:rsidRPr="008828D9" w:rsidRDefault="00E4793B" w:rsidP="00E4793B">
      <w:pPr>
        <w:pStyle w:val="Heading3"/>
      </w:pPr>
      <w:bookmarkStart w:id="77" w:name="_Toc94172676"/>
      <w:r>
        <w:t>T</w:t>
      </w:r>
      <w:r w:rsidR="00022DBC" w:rsidRPr="008828D9">
        <w:t>he desirability of an efficient and internationally competitive food industry</w:t>
      </w:r>
      <w:bookmarkEnd w:id="77"/>
    </w:p>
    <w:p w14:paraId="0E71D122" w14:textId="38A3C580" w:rsidR="008828D9" w:rsidRPr="008828D9" w:rsidRDefault="00277BA5" w:rsidP="008828D9">
      <w:pPr>
        <w:rPr>
          <w:lang w:bidi="ar-SA"/>
        </w:rPr>
      </w:pPr>
      <w:r>
        <w:rPr>
          <w:lang w:bidi="ar-SA"/>
        </w:rPr>
        <w:t>FSANZ has not identified any</w:t>
      </w:r>
      <w:r w:rsidR="00DC2FE4">
        <w:rPr>
          <w:lang w:bidi="ar-SA"/>
        </w:rPr>
        <w:t xml:space="preserve"> issues </w:t>
      </w:r>
      <w:r>
        <w:rPr>
          <w:lang w:bidi="ar-SA"/>
        </w:rPr>
        <w:t>relevant to this matter</w:t>
      </w:r>
      <w:r w:rsidR="00DC2FE4">
        <w:rPr>
          <w:lang w:bidi="ar-SA"/>
        </w:rPr>
        <w:t>.</w:t>
      </w:r>
    </w:p>
    <w:p w14:paraId="3F70BF32" w14:textId="77777777" w:rsidR="00022DBC" w:rsidRPr="008828D9" w:rsidRDefault="00022DBC" w:rsidP="00E4793B">
      <w:pPr>
        <w:pStyle w:val="Heading3"/>
      </w:pPr>
      <w:bookmarkStart w:id="78" w:name="_Toc94172677"/>
      <w:r w:rsidRPr="008828D9">
        <w:lastRenderedPageBreak/>
        <w:t>the promotion of fair trading in food</w:t>
      </w:r>
      <w:bookmarkEnd w:id="78"/>
    </w:p>
    <w:p w14:paraId="094ED90B" w14:textId="77777777" w:rsidR="00277BA5" w:rsidRPr="002B3EEA" w:rsidRDefault="00277BA5" w:rsidP="00277BA5">
      <w:pPr>
        <w:rPr>
          <w:lang w:bidi="ar-SA"/>
        </w:rPr>
      </w:pPr>
      <w:r>
        <w:rPr>
          <w:lang w:bidi="ar-SA"/>
        </w:rPr>
        <w:t>FSANZ has not identified any issues relevant to this matter.</w:t>
      </w:r>
    </w:p>
    <w:p w14:paraId="5DA00224" w14:textId="1DCC9104" w:rsidR="00022DBC" w:rsidRPr="005E2F53" w:rsidRDefault="00E4793B" w:rsidP="00E4793B">
      <w:pPr>
        <w:pStyle w:val="Heading3"/>
      </w:pPr>
      <w:bookmarkStart w:id="79" w:name="_Toc94172678"/>
      <w:r>
        <w:t>A</w:t>
      </w:r>
      <w:r w:rsidR="00022DBC" w:rsidRPr="008828D9">
        <w:t xml:space="preserve">ny written policy guidelines formulated by the </w:t>
      </w:r>
      <w:r w:rsidR="006E527D">
        <w:t>Forum on Food Regulation</w:t>
      </w:r>
      <w:bookmarkEnd w:id="79"/>
    </w:p>
    <w:p w14:paraId="394F50A5" w14:textId="3C3412DC" w:rsidR="006E01E8" w:rsidRDefault="006E01E8" w:rsidP="006E01E8">
      <w:pPr>
        <w:rPr>
          <w:lang w:val="en-AU"/>
        </w:rPr>
      </w:pPr>
      <w:r>
        <w:rPr>
          <w:lang w:val="en-AU"/>
        </w:rPr>
        <w:t xml:space="preserve">Two policy guidelines apply to our assessment of P1053: </w:t>
      </w:r>
    </w:p>
    <w:p w14:paraId="47F96DED" w14:textId="77777777" w:rsidR="00C46038" w:rsidRDefault="00C46038" w:rsidP="00C46038"/>
    <w:p w14:paraId="32D04336" w14:textId="476B9184" w:rsidR="001B6E16" w:rsidRDefault="006E01E8" w:rsidP="005417E5">
      <w:pPr>
        <w:pStyle w:val="ListParagraph"/>
        <w:numPr>
          <w:ilvl w:val="0"/>
          <w:numId w:val="22"/>
        </w:numPr>
      </w:pPr>
      <w:r w:rsidRPr="00C46038">
        <w:rPr>
          <w:i/>
        </w:rPr>
        <w:t>Ministerial Policy Guidelines on Food Safety Management in Australia: Food Safety Programs</w:t>
      </w:r>
      <w:r w:rsidRPr="00171679">
        <w:t xml:space="preserve"> (endorsed December 2003)</w:t>
      </w:r>
      <w:r>
        <w:t>.</w:t>
      </w:r>
      <w:r w:rsidR="001B6E16">
        <w:t xml:space="preserve"> This identified high risk </w:t>
      </w:r>
      <w:r w:rsidR="00C46038">
        <w:t>sectors</w:t>
      </w:r>
      <w:r w:rsidR="001B6E16">
        <w:t xml:space="preserve"> that should be required to have a food safety program (FSP) to manage risks. </w:t>
      </w:r>
      <w:r w:rsidR="00C46038">
        <w:t>I</w:t>
      </w:r>
      <w:r w:rsidR="001B6E16">
        <w:t xml:space="preserve">dentification was based on the </w:t>
      </w:r>
      <w:r w:rsidR="001B6E16" w:rsidRPr="00C46038">
        <w:rPr>
          <w:i/>
        </w:rPr>
        <w:t>National Risk Validation Project</w:t>
      </w:r>
      <w:r w:rsidR="001B6E16">
        <w:t xml:space="preserve"> using epidemiological data primarily from the 1990s. </w:t>
      </w:r>
      <w:r w:rsidR="001B6E16" w:rsidRPr="00207707">
        <w:t xml:space="preserve">The four high risk </w:t>
      </w:r>
      <w:r w:rsidR="001B6E16">
        <w:t>sectors</w:t>
      </w:r>
      <w:r w:rsidR="001B6E16" w:rsidRPr="00207707">
        <w:t xml:space="preserve"> included: food service to vulnerable populations</w:t>
      </w:r>
      <w:r w:rsidR="001B6E16">
        <w:t xml:space="preserve">, </w:t>
      </w:r>
      <w:r w:rsidR="001B6E16" w:rsidRPr="00207707">
        <w:t>raw oysters and other bivalves</w:t>
      </w:r>
      <w:r w:rsidR="001B6E16">
        <w:t xml:space="preserve">, </w:t>
      </w:r>
      <w:r w:rsidR="001B6E16" w:rsidRPr="00207707">
        <w:t>manufactured and fermented meat</w:t>
      </w:r>
      <w:r w:rsidR="001B6E16">
        <w:t>,</w:t>
      </w:r>
      <w:r w:rsidR="001B6E16" w:rsidRPr="00207707">
        <w:t xml:space="preserve"> and catering operations to the general public</w:t>
      </w:r>
      <w:r w:rsidR="001B6E16">
        <w:t>. Standards have been gazetted requiring FSPs in all sectors except the catering sector.</w:t>
      </w:r>
    </w:p>
    <w:p w14:paraId="04BA443B" w14:textId="77777777" w:rsidR="00C46038" w:rsidRPr="001B6E16" w:rsidRDefault="00C46038" w:rsidP="00C46038">
      <w:pPr>
        <w:pStyle w:val="ListParagraph"/>
      </w:pPr>
    </w:p>
    <w:p w14:paraId="660B0318" w14:textId="70ED65B7" w:rsidR="00277BA5" w:rsidRPr="006E01E8" w:rsidRDefault="006E01E8" w:rsidP="005417E5">
      <w:pPr>
        <w:pStyle w:val="FSBullet"/>
        <w:numPr>
          <w:ilvl w:val="0"/>
          <w:numId w:val="22"/>
        </w:numPr>
      </w:pPr>
      <w:r w:rsidRPr="00C46038">
        <w:rPr>
          <w:i/>
        </w:rPr>
        <w:t>Policy Guideline on Food Safety Management for General Food Service and Closely Related Retail Sectors</w:t>
      </w:r>
      <w:r w:rsidRPr="00171679">
        <w:t xml:space="preserve"> (endorsed November 2011). </w:t>
      </w:r>
      <w:r w:rsidR="00C46038">
        <w:t xml:space="preserve">The 2011 guideline </w:t>
      </w:r>
      <w:r w:rsidR="00C46038" w:rsidRPr="001C02CA">
        <w:t>promote</w:t>
      </w:r>
      <w:r w:rsidR="00C46038">
        <w:t>s</w:t>
      </w:r>
      <w:r w:rsidR="00C46038" w:rsidRPr="001C02CA">
        <w:t xml:space="preserve"> the use of </w:t>
      </w:r>
      <w:r w:rsidR="00C46038">
        <w:t xml:space="preserve">a range of food safety management options, proportionate to risk, </w:t>
      </w:r>
      <w:r w:rsidR="00C46038" w:rsidRPr="001C02CA">
        <w:t xml:space="preserve">for Priority 1 and Priority 2 </w:t>
      </w:r>
      <w:r w:rsidR="00C46038">
        <w:t xml:space="preserve">food service and retail </w:t>
      </w:r>
      <w:r w:rsidR="00C46038" w:rsidRPr="001C02CA">
        <w:t>food businesses</w:t>
      </w:r>
      <w:r w:rsidR="00C46038">
        <w:t xml:space="preserve"> including </w:t>
      </w:r>
      <w:r w:rsidR="00C46038" w:rsidRPr="001C02CA">
        <w:t>additional food safety management tools between the baseline requirements of Standards 3.2.2 and 3.2.3 and a food safety program.</w:t>
      </w:r>
    </w:p>
    <w:p w14:paraId="2B6C1CFD" w14:textId="77777777" w:rsidR="006E01E8" w:rsidRDefault="006E01E8" w:rsidP="00DD3C5E"/>
    <w:p w14:paraId="24DFA58F" w14:textId="39C4C2B7" w:rsidR="00E520FE" w:rsidRDefault="00C46038" w:rsidP="00DD3C5E">
      <w:r>
        <w:t xml:space="preserve">FSANZ has </w:t>
      </w:r>
      <w:r w:rsidR="006E01E8">
        <w:t>considered these guidelines in our assessment.</w:t>
      </w:r>
    </w:p>
    <w:p w14:paraId="44FDDF59" w14:textId="77777777" w:rsidR="006E01E8" w:rsidRDefault="006E01E8" w:rsidP="00DD3C5E"/>
    <w:p w14:paraId="32DF2B01" w14:textId="30742E08" w:rsidR="005F7342" w:rsidRPr="00932F14" w:rsidRDefault="00D14405" w:rsidP="00E203C2">
      <w:pPr>
        <w:pStyle w:val="Heading1"/>
      </w:pPr>
      <w:bookmarkStart w:id="80" w:name="_Toc286391014"/>
      <w:bookmarkStart w:id="81" w:name="_Toc175381455"/>
      <w:bookmarkStart w:id="82" w:name="_Toc300933445"/>
      <w:bookmarkStart w:id="83" w:name="_Toc94172679"/>
      <w:bookmarkEnd w:id="17"/>
      <w:bookmarkEnd w:id="18"/>
      <w:bookmarkEnd w:id="19"/>
      <w:bookmarkEnd w:id="20"/>
      <w:bookmarkEnd w:id="21"/>
      <w:bookmarkEnd w:id="22"/>
      <w:bookmarkEnd w:id="42"/>
      <w:bookmarkEnd w:id="80"/>
      <w:bookmarkEnd w:id="81"/>
      <w:bookmarkEnd w:id="82"/>
      <w:r>
        <w:t xml:space="preserve">Draft </w:t>
      </w:r>
      <w:r w:rsidR="0059131A">
        <w:t>s</w:t>
      </w:r>
      <w:r w:rsidR="00C46038" w:rsidRPr="00C46038">
        <w:t>tandard</w:t>
      </w:r>
      <w:bookmarkEnd w:id="83"/>
    </w:p>
    <w:p w14:paraId="368186DA" w14:textId="3727A75D" w:rsidR="00D209C9" w:rsidRDefault="00D209C9" w:rsidP="00D209C9">
      <w:pPr>
        <w:rPr>
          <w:color w:val="000000" w:themeColor="text1"/>
        </w:rPr>
      </w:pPr>
      <w:r w:rsidRPr="001E1FAB">
        <w:rPr>
          <w:color w:val="000000" w:themeColor="text1"/>
        </w:rPr>
        <w:t>The d</w:t>
      </w:r>
      <w:r>
        <w:rPr>
          <w:color w:val="000000" w:themeColor="text1"/>
        </w:rPr>
        <w:t xml:space="preserve">raft </w:t>
      </w:r>
      <w:r w:rsidR="0059131A">
        <w:rPr>
          <w:color w:val="000000" w:themeColor="text1"/>
        </w:rPr>
        <w:t>s</w:t>
      </w:r>
      <w:r w:rsidR="00C46038">
        <w:rPr>
          <w:color w:val="000000" w:themeColor="text1"/>
        </w:rPr>
        <w:t>tandard</w:t>
      </w:r>
      <w:r>
        <w:rPr>
          <w:color w:val="000000" w:themeColor="text1"/>
        </w:rPr>
        <w:t xml:space="preserve"> </w:t>
      </w:r>
      <w:r w:rsidR="00EF7359">
        <w:rPr>
          <w:rFonts w:eastAsia="Calibri" w:cs="Arial"/>
          <w:bCs/>
          <w:szCs w:val="22"/>
          <w:lang w:val="en-AU" w:bidi="ar-SA"/>
        </w:rPr>
        <w:t xml:space="preserve">and consequential variation are </w:t>
      </w:r>
      <w:r w:rsidRPr="001E1FAB">
        <w:rPr>
          <w:color w:val="000000" w:themeColor="text1"/>
        </w:rPr>
        <w:t>at Attachment A</w:t>
      </w:r>
      <w:r w:rsidR="001A4E61">
        <w:rPr>
          <w:color w:val="000000" w:themeColor="text1"/>
        </w:rPr>
        <w:t xml:space="preserve">. </w:t>
      </w:r>
      <w:r w:rsidR="00EF7359">
        <w:rPr>
          <w:color w:val="000000" w:themeColor="text1"/>
        </w:rPr>
        <w:t xml:space="preserve">Each </w:t>
      </w:r>
      <w:r>
        <w:rPr>
          <w:color w:val="000000" w:themeColor="text1"/>
        </w:rPr>
        <w:t xml:space="preserve">is intended to take effect </w:t>
      </w:r>
      <w:r w:rsidR="00481687">
        <w:rPr>
          <w:color w:val="000000" w:themeColor="text1"/>
        </w:rPr>
        <w:t>1</w:t>
      </w:r>
      <w:r w:rsidR="006E01E8">
        <w:rPr>
          <w:color w:val="000000" w:themeColor="text1"/>
        </w:rPr>
        <w:t xml:space="preserve">2 months from </w:t>
      </w:r>
      <w:r w:rsidR="000564DE" w:rsidRPr="00C46038">
        <w:t>gazettal</w:t>
      </w:r>
      <w:r>
        <w:rPr>
          <w:color w:val="000000" w:themeColor="text1"/>
        </w:rPr>
        <w:t>.</w:t>
      </w:r>
    </w:p>
    <w:p w14:paraId="221F2998" w14:textId="77777777" w:rsidR="00D209C9" w:rsidRPr="001E1FAB" w:rsidRDefault="00D209C9" w:rsidP="00D209C9">
      <w:pPr>
        <w:rPr>
          <w:color w:val="000000" w:themeColor="text1"/>
        </w:rPr>
      </w:pPr>
    </w:p>
    <w:p w14:paraId="208B823D" w14:textId="7407F368" w:rsidR="00A12B44" w:rsidRPr="00D26814" w:rsidRDefault="00EF7359" w:rsidP="00A12B44">
      <w:pPr>
        <w:rPr>
          <w:u w:val="single"/>
        </w:rPr>
      </w:pPr>
      <w:r>
        <w:t xml:space="preserve">Draft explanatory statements to the </w:t>
      </w:r>
      <w:r>
        <w:rPr>
          <w:rFonts w:eastAsia="Calibri" w:cs="Arial"/>
          <w:bCs/>
          <w:szCs w:val="22"/>
          <w:lang w:val="en-AU" w:bidi="ar-SA"/>
        </w:rPr>
        <w:t xml:space="preserve">draft Standard and </w:t>
      </w:r>
      <w:r w:rsidR="001613EB">
        <w:rPr>
          <w:rFonts w:eastAsia="Calibri" w:cs="Arial"/>
          <w:bCs/>
          <w:szCs w:val="22"/>
          <w:lang w:val="en-AU" w:bidi="ar-SA"/>
        </w:rPr>
        <w:t xml:space="preserve">the </w:t>
      </w:r>
      <w:r>
        <w:rPr>
          <w:rFonts w:eastAsia="Calibri" w:cs="Arial"/>
          <w:bCs/>
          <w:szCs w:val="22"/>
          <w:lang w:val="en-AU" w:bidi="ar-SA"/>
        </w:rPr>
        <w:t xml:space="preserve">consequential variation </w:t>
      </w:r>
      <w:r>
        <w:t xml:space="preserve">are at </w:t>
      </w:r>
      <w:r w:rsidR="005358B0">
        <w:t xml:space="preserve">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231025B8" w14:textId="3855674E" w:rsidR="00924C80" w:rsidRPr="00C46038" w:rsidRDefault="00924C80" w:rsidP="00A00A5C">
      <w:pPr>
        <w:pStyle w:val="Heading2"/>
        <w:ind w:left="567"/>
      </w:pPr>
      <w:bookmarkStart w:id="84" w:name="_Toc175381456"/>
      <w:bookmarkStart w:id="85" w:name="_Toc300761917"/>
      <w:bookmarkStart w:id="86" w:name="_Toc300933449"/>
      <w:bookmarkStart w:id="87" w:name="_Toc94172680"/>
      <w:bookmarkStart w:id="88" w:name="_Toc11735643"/>
      <w:bookmarkStart w:id="89" w:name="_Toc29883130"/>
      <w:bookmarkStart w:id="90" w:name="_Toc41906817"/>
      <w:bookmarkStart w:id="91" w:name="_Toc41907564"/>
      <w:bookmarkStart w:id="92" w:name="_Toc43112360"/>
      <w:r w:rsidRPr="00C46038">
        <w:lastRenderedPageBreak/>
        <w:t xml:space="preserve">Transitional </w:t>
      </w:r>
      <w:r w:rsidR="006C28E2" w:rsidRPr="00C46038">
        <w:t>a</w:t>
      </w:r>
      <w:r w:rsidRPr="00C46038">
        <w:t>rrangements</w:t>
      </w:r>
      <w:bookmarkEnd w:id="84"/>
      <w:bookmarkEnd w:id="85"/>
      <w:bookmarkEnd w:id="86"/>
      <w:bookmarkEnd w:id="87"/>
    </w:p>
    <w:p w14:paraId="3D83C93A" w14:textId="7011D0FE" w:rsidR="00924C80" w:rsidRPr="00C46038" w:rsidRDefault="001613EB" w:rsidP="002432EE">
      <w:pPr>
        <w:rPr>
          <w:rFonts w:cs="Arial"/>
        </w:rPr>
      </w:pPr>
      <w:r>
        <w:t xml:space="preserve">As explained above, </w:t>
      </w:r>
      <w:r>
        <w:rPr>
          <w:color w:val="000000" w:themeColor="text1"/>
        </w:rPr>
        <w:t>the</w:t>
      </w:r>
      <w:r w:rsidRPr="001E1FAB">
        <w:rPr>
          <w:color w:val="000000" w:themeColor="text1"/>
        </w:rPr>
        <w:t xml:space="preserve"> d</w:t>
      </w:r>
      <w:r>
        <w:rPr>
          <w:color w:val="000000" w:themeColor="text1"/>
        </w:rPr>
        <w:t xml:space="preserve">raft standard </w:t>
      </w:r>
      <w:r>
        <w:rPr>
          <w:rFonts w:eastAsia="Calibri" w:cs="Arial"/>
          <w:bCs/>
          <w:szCs w:val="22"/>
          <w:lang w:val="en-AU" w:bidi="ar-SA"/>
        </w:rPr>
        <w:t xml:space="preserve">and consequential variation are </w:t>
      </w:r>
      <w:r>
        <w:rPr>
          <w:color w:val="000000" w:themeColor="text1"/>
        </w:rPr>
        <w:t xml:space="preserve">intended to take effect 12 months after </w:t>
      </w:r>
      <w:r w:rsidRPr="00C46038">
        <w:t>gazetta</w:t>
      </w:r>
      <w:r>
        <w:t>l. This means that a</w:t>
      </w:r>
      <w:r w:rsidR="005322DF">
        <w:t>ffected parties will have 12 months from gazettal in which to prepare for the new requirements.</w:t>
      </w:r>
      <w:r w:rsidR="006E01E8" w:rsidRPr="00C46038">
        <w:rPr>
          <w:rFonts w:cs="Arial"/>
        </w:rPr>
        <w:t xml:space="preserve"> </w:t>
      </w:r>
    </w:p>
    <w:p w14:paraId="03CB978E" w14:textId="40E93A3D" w:rsidR="00924C80" w:rsidRPr="00C46038" w:rsidRDefault="00924C80" w:rsidP="00A00A5C">
      <w:pPr>
        <w:pStyle w:val="Heading2"/>
        <w:ind w:left="567"/>
      </w:pPr>
      <w:bookmarkStart w:id="93" w:name="_Toc94172681"/>
      <w:bookmarkStart w:id="94" w:name="_Toc11735642"/>
      <w:bookmarkStart w:id="95" w:name="_Toc29883129"/>
      <w:bookmarkStart w:id="96" w:name="_Toc41906816"/>
      <w:bookmarkStart w:id="97" w:name="_Toc41907563"/>
      <w:bookmarkStart w:id="98" w:name="_Toc120358595"/>
      <w:bookmarkStart w:id="99" w:name="_Toc175381457"/>
      <w:bookmarkStart w:id="100" w:name="_Toc300761918"/>
      <w:bookmarkStart w:id="101" w:name="_Toc300933450"/>
      <w:r w:rsidRPr="001A4E61">
        <w:t>Implementation</w:t>
      </w:r>
      <w:bookmarkEnd w:id="93"/>
      <w:r w:rsidRPr="00C46038">
        <w:t xml:space="preserve"> </w:t>
      </w:r>
      <w:bookmarkEnd w:id="94"/>
      <w:bookmarkEnd w:id="95"/>
      <w:bookmarkEnd w:id="96"/>
      <w:bookmarkEnd w:id="97"/>
      <w:bookmarkEnd w:id="98"/>
      <w:bookmarkEnd w:id="99"/>
      <w:bookmarkEnd w:id="100"/>
      <w:bookmarkEnd w:id="101"/>
    </w:p>
    <w:p w14:paraId="0A198D38" w14:textId="36382D2D" w:rsidR="00FC49F9" w:rsidRPr="00FC49F9" w:rsidRDefault="006E01E8" w:rsidP="00FC49F9">
      <w:pPr>
        <w:rPr>
          <w:rFonts w:cs="Arial"/>
          <w:szCs w:val="22"/>
          <w:lang w:val="en-AU"/>
        </w:rPr>
      </w:pPr>
      <w:r w:rsidRPr="00C46038">
        <w:rPr>
          <w:rFonts w:cs="Arial"/>
        </w:rPr>
        <w:t xml:space="preserve">The integrated model for </w:t>
      </w:r>
      <w:r w:rsidR="0059131A">
        <w:rPr>
          <w:rFonts w:cs="Arial"/>
        </w:rPr>
        <w:t>s</w:t>
      </w:r>
      <w:r w:rsidRPr="00C46038">
        <w:rPr>
          <w:rFonts w:cs="Arial"/>
        </w:rPr>
        <w:t xml:space="preserve">tandards development and implementation </w:t>
      </w:r>
      <w:r w:rsidR="00D075FA">
        <w:rPr>
          <w:rFonts w:cs="Arial"/>
        </w:rPr>
        <w:t>ensures that, should the Board approve a draft Standard, guidance is readily available on how the proposed standard might be implemented</w:t>
      </w:r>
      <w:r w:rsidR="00C46038">
        <w:rPr>
          <w:rFonts w:cs="Arial"/>
        </w:rPr>
        <w:t xml:space="preserve">. </w:t>
      </w:r>
      <w:r w:rsidR="00FC49F9" w:rsidRPr="003D69B2">
        <w:rPr>
          <w:rStyle w:val="normaltextrun"/>
          <w:rFonts w:cs="Arial"/>
          <w:szCs w:val="22"/>
        </w:rPr>
        <w:t>A Food Safety Management Implementation Working Group (IWG) has been established by ISFR</w:t>
      </w:r>
      <w:r w:rsidR="00FC49F9">
        <w:rPr>
          <w:rStyle w:val="normaltextrun"/>
          <w:rFonts w:cs="Arial"/>
          <w:szCs w:val="22"/>
        </w:rPr>
        <w:t xml:space="preserve">. </w:t>
      </w:r>
      <w:r w:rsidR="00FC49F9" w:rsidRPr="00FC49F9">
        <w:rPr>
          <w:rFonts w:cs="Arial"/>
          <w:szCs w:val="22"/>
          <w:lang w:val="en-AU"/>
        </w:rPr>
        <w:t>While draft implementation guidance has been developed, this guidance may change depending on final outcome of the draft standard and its content. </w:t>
      </w:r>
    </w:p>
    <w:p w14:paraId="114B55C5" w14:textId="77777777" w:rsidR="00FC49F9" w:rsidRPr="00FC49F9" w:rsidRDefault="00FC49F9" w:rsidP="00FC49F9">
      <w:pPr>
        <w:rPr>
          <w:rFonts w:cs="Arial"/>
          <w:szCs w:val="22"/>
          <w:lang w:val="en-AU"/>
        </w:rPr>
      </w:pPr>
      <w:r w:rsidRPr="00FC49F9">
        <w:rPr>
          <w:rFonts w:cs="Arial"/>
          <w:szCs w:val="22"/>
          <w:lang w:val="en-AU"/>
        </w:rPr>
        <w:t> </w:t>
      </w:r>
    </w:p>
    <w:p w14:paraId="3CC32696" w14:textId="6535C02E" w:rsidR="0091132E" w:rsidRPr="00C46038" w:rsidRDefault="00FC49F9" w:rsidP="00FC49F9">
      <w:pPr>
        <w:rPr>
          <w:rFonts w:cs="Arial"/>
        </w:rPr>
      </w:pPr>
      <w:r w:rsidRPr="00FC49F9">
        <w:rPr>
          <w:rFonts w:cs="Arial"/>
          <w:szCs w:val="22"/>
          <w:lang w:val="en-AU"/>
        </w:rPr>
        <w:t xml:space="preserve">This guidance aims to assist businesses and regulators to </w:t>
      </w:r>
      <w:r w:rsidR="00567ADA">
        <w:rPr>
          <w:rFonts w:cs="Arial"/>
          <w:szCs w:val="22"/>
          <w:lang w:val="en-AU"/>
        </w:rPr>
        <w:t xml:space="preserve">understand how the proposed standard might be implemented </w:t>
      </w:r>
      <w:r w:rsidRPr="00FC49F9">
        <w:rPr>
          <w:rFonts w:cs="Arial"/>
          <w:szCs w:val="22"/>
          <w:lang w:val="en-AU"/>
        </w:rPr>
        <w:t>c</w:t>
      </w:r>
      <w:r>
        <w:rPr>
          <w:rFonts w:cs="Arial"/>
          <w:szCs w:val="22"/>
          <w:lang w:val="en-AU"/>
        </w:rPr>
        <w:t xml:space="preserve">onsistently at a national level and is provided as supporting document </w:t>
      </w:r>
      <w:r w:rsidR="004C47E5">
        <w:rPr>
          <w:rFonts w:cs="Arial"/>
          <w:szCs w:val="22"/>
          <w:lang w:val="en-AU"/>
        </w:rPr>
        <w:t>3</w:t>
      </w:r>
      <w:r>
        <w:rPr>
          <w:rFonts w:cs="Arial"/>
          <w:szCs w:val="22"/>
          <w:lang w:val="en-AU"/>
        </w:rPr>
        <w:t xml:space="preserve"> (SD</w:t>
      </w:r>
      <w:r w:rsidR="004C47E5">
        <w:rPr>
          <w:rFonts w:cs="Arial"/>
          <w:szCs w:val="22"/>
          <w:lang w:val="en-AU"/>
        </w:rPr>
        <w:t>3</w:t>
      </w:r>
      <w:r>
        <w:rPr>
          <w:rFonts w:cs="Arial"/>
          <w:szCs w:val="22"/>
          <w:lang w:val="en-AU"/>
        </w:rPr>
        <w:t>)</w:t>
      </w:r>
    </w:p>
    <w:p w14:paraId="0E215AB6" w14:textId="77777777" w:rsidR="00D26814" w:rsidRPr="00C46038" w:rsidRDefault="00D26814" w:rsidP="002432EE">
      <w:pPr>
        <w:rPr>
          <w:rFonts w:cs="Arial"/>
        </w:rPr>
      </w:pPr>
    </w:p>
    <w:p w14:paraId="30A1B3E9" w14:textId="4DA0462E" w:rsidR="00924C80" w:rsidRPr="00C46038" w:rsidRDefault="006B7E39" w:rsidP="00E75054">
      <w:pPr>
        <w:pStyle w:val="Heading1"/>
      </w:pPr>
      <w:bookmarkStart w:id="102" w:name="_Toc300933452"/>
      <w:r>
        <w:t xml:space="preserve"> </w:t>
      </w:r>
      <w:bookmarkStart w:id="103" w:name="_Toc94172682"/>
      <w:r w:rsidR="00924C80" w:rsidRPr="00C46038">
        <w:t>R</w:t>
      </w:r>
      <w:bookmarkEnd w:id="102"/>
      <w:r w:rsidR="006C28E2" w:rsidRPr="00C46038">
        <w:t>eferences</w:t>
      </w:r>
      <w:bookmarkEnd w:id="103"/>
    </w:p>
    <w:bookmarkEnd w:id="88"/>
    <w:bookmarkEnd w:id="89"/>
    <w:bookmarkEnd w:id="90"/>
    <w:bookmarkEnd w:id="91"/>
    <w:bookmarkEnd w:id="92"/>
    <w:p w14:paraId="345A00AD" w14:textId="77777777" w:rsidR="003D1BD9" w:rsidRPr="00B8795C" w:rsidRDefault="003D1BD9" w:rsidP="003D1BD9">
      <w:pPr>
        <w:rPr>
          <w:rFonts w:cs="Arial"/>
          <w:sz w:val="20"/>
          <w:szCs w:val="20"/>
        </w:rPr>
      </w:pPr>
      <w:r w:rsidRPr="00B8795C">
        <w:rPr>
          <w:rFonts w:cs="Arial"/>
          <w:sz w:val="20"/>
          <w:szCs w:val="20"/>
        </w:rPr>
        <w:t xml:space="preserve">Abelson P, Forbes M P, Hall G (2006). The annual cost of foodborne illness in Australia. Report No.: 0642829063. Australian Government Department of Health and Ageing, Canberra. </w:t>
      </w:r>
    </w:p>
    <w:p w14:paraId="7BD8CF26" w14:textId="77777777" w:rsidR="003D1BD9" w:rsidRPr="00B8795C" w:rsidRDefault="003D1BD9" w:rsidP="003D1BD9">
      <w:pPr>
        <w:rPr>
          <w:rFonts w:cs="Arial"/>
          <w:sz w:val="20"/>
          <w:szCs w:val="20"/>
        </w:rPr>
      </w:pPr>
    </w:p>
    <w:p w14:paraId="60F8C148" w14:textId="77777777" w:rsidR="003D1BD9" w:rsidRPr="00B8795C" w:rsidRDefault="003D1BD9" w:rsidP="003D1BD9">
      <w:pPr>
        <w:rPr>
          <w:rFonts w:cs="Arial"/>
          <w:sz w:val="20"/>
          <w:szCs w:val="20"/>
          <w:lang w:val="en-AU"/>
        </w:rPr>
      </w:pPr>
      <w:r w:rsidRPr="00B8795C">
        <w:rPr>
          <w:rFonts w:cs="Arial"/>
          <w:sz w:val="20"/>
          <w:szCs w:val="20"/>
          <w:lang w:val="en-AU"/>
        </w:rPr>
        <w:t>Allen Consulting Group (2002). Food safety management systems: costs, benefits and alternatives: final report to the Commonwealth Department of Health and Ageing. Department of Health and Ageing, Canberra</w:t>
      </w:r>
    </w:p>
    <w:p w14:paraId="421BCAD0" w14:textId="77777777" w:rsidR="003D1BD9" w:rsidRPr="00B8795C" w:rsidRDefault="003D1BD9" w:rsidP="003D1BD9">
      <w:pPr>
        <w:rPr>
          <w:rFonts w:cs="Arial"/>
          <w:sz w:val="20"/>
          <w:szCs w:val="20"/>
        </w:rPr>
      </w:pPr>
    </w:p>
    <w:p w14:paraId="3F40575E" w14:textId="3943BD38" w:rsidR="003D1BD9" w:rsidRDefault="003D1BD9" w:rsidP="003D1BD9">
      <w:pPr>
        <w:rPr>
          <w:rFonts w:cs="Arial"/>
          <w:sz w:val="20"/>
          <w:szCs w:val="20"/>
          <w:lang w:val="en-US"/>
        </w:rPr>
      </w:pPr>
      <w:r w:rsidRPr="00B8795C">
        <w:rPr>
          <w:rFonts w:cs="Arial"/>
          <w:sz w:val="20"/>
          <w:szCs w:val="20"/>
        </w:rPr>
        <w:t>DoHA (2007). Business Sector Food Safety Risk Priority Classification Framework.</w:t>
      </w:r>
      <w:r w:rsidRPr="00B8795C">
        <w:rPr>
          <w:rFonts w:cs="Arial"/>
          <w:sz w:val="20"/>
          <w:szCs w:val="20"/>
          <w:lang w:val="en-AU"/>
        </w:rPr>
        <w:t xml:space="preserve"> </w:t>
      </w:r>
      <w:r w:rsidRPr="00B8795C">
        <w:rPr>
          <w:rFonts w:cs="Arial"/>
          <w:sz w:val="20"/>
          <w:szCs w:val="20"/>
        </w:rPr>
        <w:t>Australian Department of Health and Ageing</w:t>
      </w:r>
      <w:r w:rsidRPr="00B8795C">
        <w:rPr>
          <w:rFonts w:cs="Arial"/>
          <w:sz w:val="20"/>
          <w:szCs w:val="20"/>
          <w:lang w:val="en-AU"/>
        </w:rPr>
        <w:t xml:space="preserve">, </w:t>
      </w:r>
      <w:r w:rsidRPr="00B8795C">
        <w:rPr>
          <w:rFonts w:cs="Arial"/>
          <w:sz w:val="20"/>
          <w:szCs w:val="20"/>
          <w:lang w:val="en-US"/>
        </w:rPr>
        <w:t>Canberra.</w:t>
      </w:r>
      <w:r w:rsidR="00FC252D">
        <w:rPr>
          <w:rFonts w:cs="Arial"/>
          <w:sz w:val="20"/>
          <w:szCs w:val="20"/>
          <w:lang w:val="en-US"/>
        </w:rPr>
        <w:t xml:space="preserve"> </w:t>
      </w:r>
    </w:p>
    <w:p w14:paraId="2B9C6BD7" w14:textId="1A95F618" w:rsidR="003D1BD9" w:rsidRPr="00B8795C" w:rsidRDefault="00302799" w:rsidP="003D1BD9">
      <w:pPr>
        <w:rPr>
          <w:rFonts w:cs="Arial"/>
          <w:sz w:val="20"/>
          <w:szCs w:val="20"/>
          <w:lang w:val="en-US"/>
        </w:rPr>
      </w:pPr>
      <w:hyperlink r:id="rId25" w:history="1">
        <w:r w:rsidR="003D1BD9" w:rsidRPr="003F6641">
          <w:rPr>
            <w:rStyle w:val="Hyperlink"/>
            <w:rFonts w:cs="Arial"/>
            <w:sz w:val="20"/>
            <w:szCs w:val="20"/>
            <w:lang w:val="en-US"/>
          </w:rPr>
          <w:t>https://www1.health.gov.au/internet/fr/publishing.nsf/Content/37F08208FAC6F504CA2582A40027AA90/$File/FRSC-RPF2007.pdf</w:t>
        </w:r>
      </w:hyperlink>
      <w:r w:rsidR="003D1BD9">
        <w:rPr>
          <w:rFonts w:cs="Arial"/>
          <w:sz w:val="20"/>
          <w:szCs w:val="20"/>
          <w:lang w:val="en-US"/>
        </w:rPr>
        <w:t xml:space="preserve"> </w:t>
      </w:r>
    </w:p>
    <w:p w14:paraId="05B94326" w14:textId="77777777" w:rsidR="003D1BD9" w:rsidRPr="00B8795C" w:rsidRDefault="003D1BD9" w:rsidP="003D1BD9">
      <w:pPr>
        <w:rPr>
          <w:rFonts w:cs="Arial"/>
          <w:sz w:val="20"/>
          <w:szCs w:val="20"/>
          <w:lang w:val="en-AU"/>
        </w:rPr>
      </w:pPr>
    </w:p>
    <w:p w14:paraId="2F51AD39" w14:textId="29E96EF2" w:rsidR="003D1BD9" w:rsidRPr="00B8795C" w:rsidRDefault="003D1BD9" w:rsidP="003D1BD9">
      <w:pPr>
        <w:pStyle w:val="FootnoteText"/>
        <w:rPr>
          <w:rFonts w:cs="Arial"/>
        </w:rPr>
      </w:pPr>
      <w:r w:rsidRPr="00B8795C">
        <w:rPr>
          <w:rFonts w:cs="Arial"/>
          <w:lang w:val="en-AU"/>
        </w:rPr>
        <w:t>Food Science Australia and Minter Ellison Consulting (2002). National Risk Validation Project: Final Report. NSW Department of Health, Sydney and the Commonwealth Department of Health and</w:t>
      </w:r>
      <w:r w:rsidRPr="00B8795C">
        <w:rPr>
          <w:rFonts w:cs="Arial"/>
        </w:rPr>
        <w:t xml:space="preserve"> Ageing, Canberra</w:t>
      </w:r>
    </w:p>
    <w:p w14:paraId="6B6F21D2" w14:textId="77777777" w:rsidR="003D1BD9" w:rsidRPr="00B8795C" w:rsidRDefault="003D1BD9" w:rsidP="003D1BD9">
      <w:pPr>
        <w:rPr>
          <w:rFonts w:cs="Arial"/>
          <w:sz w:val="20"/>
          <w:szCs w:val="20"/>
        </w:rPr>
      </w:pPr>
    </w:p>
    <w:p w14:paraId="21716562" w14:textId="77777777" w:rsidR="003D1BD9" w:rsidRPr="00B8795C" w:rsidRDefault="003D1BD9" w:rsidP="003D1BD9">
      <w:pPr>
        <w:rPr>
          <w:rFonts w:cs="Arial"/>
          <w:sz w:val="20"/>
          <w:szCs w:val="20"/>
        </w:rPr>
      </w:pPr>
      <w:r w:rsidRPr="00B8795C">
        <w:rPr>
          <w:rFonts w:cs="Arial"/>
          <w:sz w:val="20"/>
          <w:szCs w:val="20"/>
          <w:lang w:val="en-AU"/>
        </w:rPr>
        <w:lastRenderedPageBreak/>
        <w:t xml:space="preserve">Forum (2011). Policy Guideline on Food Safety Management for General Food Service and Closely Related Retail Sectors. </w:t>
      </w:r>
      <w:r w:rsidRPr="00B8795C">
        <w:rPr>
          <w:rFonts w:cs="Arial"/>
          <w:sz w:val="20"/>
          <w:szCs w:val="20"/>
        </w:rPr>
        <w:t>Legislative and Governance Forum on Food Regulation</w:t>
      </w:r>
      <w:r w:rsidRPr="00B8795C">
        <w:rPr>
          <w:rFonts w:cs="Arial"/>
          <w:sz w:val="20"/>
          <w:szCs w:val="20"/>
          <w:lang w:val="en-AU"/>
        </w:rPr>
        <w:t>, Canberra.</w:t>
      </w:r>
    </w:p>
    <w:p w14:paraId="164B3041" w14:textId="77777777" w:rsidR="003D1BD9" w:rsidRPr="00B8795C" w:rsidRDefault="00302799" w:rsidP="003D1BD9">
      <w:pPr>
        <w:rPr>
          <w:rFonts w:cs="Arial"/>
          <w:sz w:val="20"/>
          <w:szCs w:val="20"/>
          <w:lang w:val="en-AU"/>
        </w:rPr>
      </w:pPr>
      <w:hyperlink r:id="rId26" w:history="1">
        <w:r w:rsidR="003D1BD9" w:rsidRPr="00B8795C">
          <w:rPr>
            <w:rStyle w:val="Hyperlink"/>
            <w:rFonts w:cs="Arial"/>
            <w:sz w:val="20"/>
            <w:szCs w:val="20"/>
            <w:lang w:val="en-AU"/>
          </w:rPr>
          <w:t>https://foodregulation.gov.au/internet/fr/publishing.nsf/Content/publication-Food-Safety-Management-Policy-Guideline-for-the-retail-and-food-service-sectors</w:t>
        </w:r>
      </w:hyperlink>
      <w:r w:rsidR="003D1BD9" w:rsidRPr="00B8795C">
        <w:rPr>
          <w:rFonts w:cs="Arial"/>
          <w:sz w:val="20"/>
          <w:szCs w:val="20"/>
          <w:lang w:val="en-AU"/>
        </w:rPr>
        <w:t xml:space="preserve">. </w:t>
      </w:r>
    </w:p>
    <w:p w14:paraId="5D86E44F" w14:textId="77777777" w:rsidR="003D1BD9" w:rsidRPr="00B8795C" w:rsidRDefault="003D1BD9" w:rsidP="003D1BD9">
      <w:pPr>
        <w:rPr>
          <w:rFonts w:cs="Arial"/>
          <w:sz w:val="20"/>
          <w:szCs w:val="20"/>
          <w:lang w:val="en-AU"/>
        </w:rPr>
      </w:pPr>
      <w:r w:rsidRPr="00B8795C">
        <w:rPr>
          <w:rFonts w:cs="Arial"/>
          <w:sz w:val="20"/>
          <w:szCs w:val="20"/>
          <w:lang w:val="en-AU"/>
        </w:rPr>
        <w:t>Accessed December 2019.</w:t>
      </w:r>
    </w:p>
    <w:p w14:paraId="1AF19B78" w14:textId="77777777" w:rsidR="003D1BD9" w:rsidRPr="00B8795C" w:rsidRDefault="003D1BD9" w:rsidP="003D1BD9">
      <w:pPr>
        <w:rPr>
          <w:rFonts w:cs="Arial"/>
          <w:sz w:val="20"/>
          <w:szCs w:val="20"/>
          <w:lang w:val="en-AU"/>
        </w:rPr>
      </w:pPr>
    </w:p>
    <w:p w14:paraId="5650FA22" w14:textId="042F9387" w:rsidR="003D1BD9" w:rsidRPr="00B8795C" w:rsidRDefault="003D1BD9" w:rsidP="003D1BD9">
      <w:pPr>
        <w:rPr>
          <w:rFonts w:cs="Arial"/>
          <w:sz w:val="20"/>
          <w:szCs w:val="20"/>
        </w:rPr>
      </w:pPr>
      <w:r w:rsidRPr="00B8795C">
        <w:rPr>
          <w:rFonts w:cs="Arial"/>
          <w:sz w:val="20"/>
          <w:szCs w:val="20"/>
        </w:rPr>
        <w:t xml:space="preserve">FSANZ (2016). Safe Food Australia </w:t>
      </w:r>
      <w:r w:rsidRPr="00AC43FE">
        <w:rPr>
          <w:rFonts w:cs="Arial"/>
          <w:sz w:val="20"/>
          <w:szCs w:val="20"/>
        </w:rPr>
        <w:t>- A Guide to the Food Safety Standards.</w:t>
      </w:r>
      <w:r w:rsidRPr="00B8795C">
        <w:rPr>
          <w:rFonts w:cs="Arial"/>
          <w:sz w:val="20"/>
          <w:szCs w:val="20"/>
        </w:rPr>
        <w:t xml:space="preserve"> Food Standards Australia New Zealand, Canberra.</w:t>
      </w:r>
    </w:p>
    <w:p w14:paraId="7B98C8FC" w14:textId="77777777" w:rsidR="003D1BD9" w:rsidRPr="00B8795C" w:rsidRDefault="003D1BD9" w:rsidP="003D1BD9">
      <w:pPr>
        <w:rPr>
          <w:rStyle w:val="Hyperlink"/>
          <w:rFonts w:cs="Arial"/>
          <w:sz w:val="20"/>
          <w:szCs w:val="20"/>
        </w:rPr>
      </w:pPr>
      <w:r w:rsidRPr="00B8795C">
        <w:rPr>
          <w:rStyle w:val="Hyperlink"/>
          <w:rFonts w:cs="Arial"/>
          <w:sz w:val="20"/>
          <w:szCs w:val="20"/>
        </w:rPr>
        <w:t xml:space="preserve"> </w:t>
      </w:r>
      <w:hyperlink r:id="rId27" w:history="1">
        <w:r w:rsidRPr="00B8795C">
          <w:rPr>
            <w:rStyle w:val="Hyperlink"/>
            <w:rFonts w:cs="Arial"/>
            <w:sz w:val="20"/>
            <w:szCs w:val="20"/>
          </w:rPr>
          <w:t>http://www.foodstandards.gov.au/foodsafety/standards/Pages/Safe-Food-Australia-%E2%80%93-A-guide-to-the-Food-Safety-Standards.aspx</w:t>
        </w:r>
      </w:hyperlink>
    </w:p>
    <w:p w14:paraId="2F635532" w14:textId="7E1B71D4" w:rsidR="003D1BD9" w:rsidRDefault="003D1BD9" w:rsidP="003D1BD9">
      <w:pPr>
        <w:rPr>
          <w:rStyle w:val="Hyperlink"/>
          <w:rFonts w:cs="Arial"/>
          <w:color w:val="auto"/>
          <w:sz w:val="20"/>
          <w:szCs w:val="20"/>
          <w:u w:val="none"/>
        </w:rPr>
      </w:pPr>
      <w:r w:rsidRPr="003D1BD9">
        <w:rPr>
          <w:rStyle w:val="Hyperlink"/>
          <w:rFonts w:cs="Arial"/>
          <w:color w:val="auto"/>
          <w:sz w:val="20"/>
          <w:szCs w:val="20"/>
          <w:u w:val="none"/>
        </w:rPr>
        <w:t>Accessed 10 January 2020</w:t>
      </w:r>
    </w:p>
    <w:p w14:paraId="7DEAE0AD" w14:textId="64EB6339" w:rsidR="00A21301" w:rsidRDefault="00A21301" w:rsidP="003D1BD9">
      <w:pPr>
        <w:rPr>
          <w:rStyle w:val="Hyperlink"/>
          <w:rFonts w:cs="Arial"/>
          <w:color w:val="auto"/>
          <w:sz w:val="20"/>
          <w:szCs w:val="20"/>
          <w:u w:val="none"/>
        </w:rPr>
      </w:pPr>
    </w:p>
    <w:p w14:paraId="1064D204" w14:textId="7EA260DA" w:rsidR="00A21301" w:rsidRPr="00A21301" w:rsidRDefault="00A21301" w:rsidP="00A21301">
      <w:pPr>
        <w:rPr>
          <w:sz w:val="20"/>
          <w:szCs w:val="20"/>
        </w:rPr>
      </w:pPr>
      <w:bookmarkStart w:id="104" w:name="_CTVL001d92c7297027f45439870116ff5c9b1e5"/>
      <w:r w:rsidRPr="00A21301">
        <w:rPr>
          <w:sz w:val="20"/>
          <w:szCs w:val="20"/>
        </w:rPr>
        <w:t xml:space="preserve">Kirk M, Glass K, Ford L, Brown K, Hall G (2014). Foodborne illness in Australia: Annual incidence circa 2010. National Centre for Epidemiology and Population Health, Australian National University. Canberra, Australia. </w:t>
      </w:r>
      <w:hyperlink r:id="rId28" w:history="1">
        <w:r w:rsidRPr="00A21301">
          <w:rPr>
            <w:rStyle w:val="Hyperlink"/>
            <w:sz w:val="20"/>
            <w:szCs w:val="20"/>
          </w:rPr>
          <w:t>https://www1.health.gov.au/internet/main/publishing.nsf/Content/E829FA59A59677C0CA257D6A007D2C97/$File/Foodborne-Illness-Australia-circa-2010.pdf</w:t>
        </w:r>
      </w:hyperlink>
      <w:r w:rsidRPr="00A21301">
        <w:rPr>
          <w:sz w:val="20"/>
          <w:szCs w:val="20"/>
        </w:rPr>
        <w:t xml:space="preserve"> </w:t>
      </w:r>
    </w:p>
    <w:p w14:paraId="76B4F9DA" w14:textId="42621F86" w:rsidR="00A21301" w:rsidRPr="00A21301" w:rsidRDefault="00A21301" w:rsidP="00A21301">
      <w:pPr>
        <w:rPr>
          <w:sz w:val="20"/>
          <w:szCs w:val="20"/>
        </w:rPr>
      </w:pPr>
      <w:r w:rsidRPr="00A21301">
        <w:rPr>
          <w:sz w:val="20"/>
          <w:szCs w:val="20"/>
        </w:rPr>
        <w:t>A</w:t>
      </w:r>
      <w:r w:rsidRPr="00A21301">
        <w:rPr>
          <w:rFonts w:cs="Arial"/>
          <w:sz w:val="20"/>
          <w:szCs w:val="20"/>
        </w:rPr>
        <w:t>ccessed 4 January 2019.</w:t>
      </w:r>
      <w:bookmarkEnd w:id="104"/>
    </w:p>
    <w:p w14:paraId="10C83D81" w14:textId="77777777" w:rsidR="003D1BD9" w:rsidRPr="00B8795C" w:rsidRDefault="003D1BD9" w:rsidP="003D1BD9">
      <w:pPr>
        <w:rPr>
          <w:rStyle w:val="Hyperlink"/>
          <w:rFonts w:cs="Arial"/>
          <w:sz w:val="20"/>
          <w:szCs w:val="20"/>
        </w:rPr>
      </w:pPr>
    </w:p>
    <w:p w14:paraId="111E6ED9" w14:textId="58BCE417" w:rsidR="003D1BD9" w:rsidRPr="00B8795C" w:rsidRDefault="003D1BD9" w:rsidP="003D1BD9">
      <w:pPr>
        <w:rPr>
          <w:rFonts w:cs="Arial"/>
          <w:sz w:val="20"/>
          <w:szCs w:val="20"/>
        </w:rPr>
      </w:pPr>
      <w:r w:rsidRPr="00B8795C">
        <w:rPr>
          <w:rFonts w:cs="Arial"/>
          <w:sz w:val="20"/>
          <w:szCs w:val="20"/>
        </w:rPr>
        <w:t>Ross T,</w:t>
      </w:r>
      <w:r w:rsidR="00FC252D">
        <w:rPr>
          <w:rFonts w:cs="Arial"/>
          <w:sz w:val="20"/>
          <w:szCs w:val="20"/>
        </w:rPr>
        <w:t xml:space="preserve"> </w:t>
      </w:r>
      <w:r w:rsidRPr="00B8795C">
        <w:rPr>
          <w:rFonts w:cs="Arial"/>
          <w:sz w:val="20"/>
          <w:szCs w:val="20"/>
        </w:rPr>
        <w:t>Mellefont L, McQuestin O,</w:t>
      </w:r>
      <w:r w:rsidR="00FC252D">
        <w:rPr>
          <w:rFonts w:cs="Arial"/>
          <w:sz w:val="20"/>
          <w:szCs w:val="20"/>
        </w:rPr>
        <w:t xml:space="preserve"> </w:t>
      </w:r>
      <w:r w:rsidRPr="00B8795C">
        <w:rPr>
          <w:rFonts w:cs="Arial"/>
          <w:sz w:val="20"/>
          <w:szCs w:val="20"/>
        </w:rPr>
        <w:t>Haines H, Smith J (</w:t>
      </w:r>
      <w:r w:rsidRPr="00B8795C">
        <w:rPr>
          <w:rFonts w:cs="Arial"/>
          <w:sz w:val="20"/>
          <w:szCs w:val="20"/>
          <w:lang w:val="en-AU"/>
        </w:rPr>
        <w:t xml:space="preserve">2009) </w:t>
      </w:r>
      <w:r w:rsidRPr="00B8795C">
        <w:rPr>
          <w:rFonts w:cs="Arial"/>
          <w:sz w:val="20"/>
          <w:szCs w:val="20"/>
        </w:rPr>
        <w:t>Risk Profiling Framework Example Classifications (Extracts), prepared for Department of Health and Ageing, Canberra</w:t>
      </w:r>
    </w:p>
    <w:p w14:paraId="578F288A" w14:textId="77777777" w:rsidR="003D1BD9" w:rsidRPr="00B8795C" w:rsidRDefault="00302799" w:rsidP="003D1BD9">
      <w:pPr>
        <w:rPr>
          <w:rFonts w:cs="Arial"/>
          <w:sz w:val="20"/>
          <w:szCs w:val="20"/>
        </w:rPr>
      </w:pPr>
      <w:hyperlink r:id="rId29" w:history="1">
        <w:r w:rsidR="003D1BD9" w:rsidRPr="00B8795C">
          <w:rPr>
            <w:rStyle w:val="Hyperlink"/>
            <w:rFonts w:cs="Arial"/>
            <w:sz w:val="20"/>
            <w:szCs w:val="20"/>
          </w:rPr>
          <w:t>https://foodregulation.gov.au/internet/fr/publishing.nsf/Content/37F08208FAC6F504CA2582A40027AA90/$File/FRSC-RPF-ECE.docx</w:t>
        </w:r>
      </w:hyperlink>
      <w:r w:rsidR="003D1BD9" w:rsidRPr="00B8795C">
        <w:rPr>
          <w:rFonts w:cs="Arial"/>
          <w:sz w:val="20"/>
          <w:szCs w:val="20"/>
        </w:rPr>
        <w:t xml:space="preserve"> </w:t>
      </w:r>
    </w:p>
    <w:p w14:paraId="2A130855" w14:textId="77777777" w:rsidR="003D1BD9" w:rsidRPr="00B8795C" w:rsidRDefault="003D1BD9" w:rsidP="003D1BD9">
      <w:pPr>
        <w:rPr>
          <w:rFonts w:cs="Arial"/>
          <w:sz w:val="20"/>
          <w:szCs w:val="20"/>
        </w:rPr>
      </w:pPr>
      <w:r w:rsidRPr="00B8795C">
        <w:rPr>
          <w:rFonts w:cs="Arial"/>
          <w:sz w:val="20"/>
          <w:szCs w:val="20"/>
        </w:rPr>
        <w:t>Accessed December 2019</w:t>
      </w:r>
    </w:p>
    <w:p w14:paraId="37336252" w14:textId="77777777" w:rsidR="003D1BD9" w:rsidRPr="00B8795C" w:rsidRDefault="003D1BD9" w:rsidP="003D1BD9">
      <w:pPr>
        <w:rPr>
          <w:rFonts w:cs="Arial"/>
          <w:sz w:val="20"/>
          <w:szCs w:val="20"/>
        </w:rPr>
      </w:pP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E05F5B0" w:rsidR="00AB0275" w:rsidRDefault="00AB0275" w:rsidP="00AB0275">
      <w:pPr>
        <w:ind w:left="567" w:hanging="567"/>
      </w:pPr>
      <w:r>
        <w:t>A.</w:t>
      </w:r>
      <w:r>
        <w:tab/>
      </w:r>
      <w:r w:rsidR="00D2071E">
        <w:t>D</w:t>
      </w:r>
      <w:r>
        <w:t>raft variation</w:t>
      </w:r>
      <w:r w:rsidR="00EF7359">
        <w:t>s</w:t>
      </w:r>
      <w:r>
        <w:t xml:space="preserve">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0AAEF500" w:rsidR="00AB0275" w:rsidRDefault="00AB0275" w:rsidP="00AB0275">
      <w:pPr>
        <w:ind w:left="567" w:hanging="567"/>
      </w:pPr>
      <w:r w:rsidRPr="00456BD5">
        <w:t>B.</w:t>
      </w:r>
      <w:r w:rsidRPr="00456BD5">
        <w:tab/>
      </w:r>
      <w:r w:rsidR="002C4A91">
        <w:t xml:space="preserve">Draft </w:t>
      </w:r>
      <w:r>
        <w:t>Explanatory Statement</w:t>
      </w:r>
      <w:r w:rsidR="00EF7359">
        <w:t>s</w:t>
      </w:r>
    </w:p>
    <w:p w14:paraId="6AFF9B3B" w14:textId="77777777" w:rsidR="00D60568" w:rsidRPr="00E203C2" w:rsidRDefault="00D60568" w:rsidP="002432EE"/>
    <w:p w14:paraId="6AF32356" w14:textId="767449E8" w:rsidR="00AB0275" w:rsidRDefault="00AB0275" w:rsidP="00465397">
      <w:pPr>
        <w:pStyle w:val="Heading2"/>
        <w:numPr>
          <w:ilvl w:val="0"/>
          <w:numId w:val="0"/>
        </w:numPr>
        <w:rPr>
          <w:i/>
        </w:rPr>
      </w:pPr>
      <w:bookmarkStart w:id="105" w:name="_Toc300933454"/>
      <w:r w:rsidRPr="00932F14">
        <w:br w:type="page"/>
      </w:r>
      <w:bookmarkStart w:id="106" w:name="_Toc29883131"/>
      <w:bookmarkStart w:id="107" w:name="_Toc41906818"/>
      <w:bookmarkStart w:id="108" w:name="_Toc41907565"/>
      <w:bookmarkStart w:id="109" w:name="_Toc120358596"/>
      <w:bookmarkStart w:id="110" w:name="_Toc175381458"/>
      <w:bookmarkStart w:id="111" w:name="_Toc11735644"/>
      <w:bookmarkStart w:id="112" w:name="_Toc415572037"/>
      <w:bookmarkStart w:id="113" w:name="_Toc94172683"/>
      <w:r w:rsidRPr="00932F14">
        <w:lastRenderedPageBreak/>
        <w:t xml:space="preserve">Attachment </w:t>
      </w:r>
      <w:bookmarkEnd w:id="106"/>
      <w:bookmarkEnd w:id="107"/>
      <w:bookmarkEnd w:id="108"/>
      <w:bookmarkEnd w:id="109"/>
      <w:bookmarkEnd w:id="110"/>
      <w:r>
        <w:t>A</w:t>
      </w:r>
      <w:bookmarkStart w:id="114" w:name="_Toc120358597"/>
      <w:bookmarkStart w:id="115" w:name="_Toc175381459"/>
      <w:bookmarkEnd w:id="111"/>
      <w:r>
        <w:t xml:space="preserve"> –</w:t>
      </w:r>
      <w:r w:rsidR="00CA3C65">
        <w:t xml:space="preserve"> </w:t>
      </w:r>
      <w:bookmarkStart w:id="116" w:name="_Toc415572039"/>
      <w:bookmarkEnd w:id="105"/>
      <w:bookmarkEnd w:id="112"/>
      <w:bookmarkEnd w:id="114"/>
      <w:bookmarkEnd w:id="115"/>
      <w:r w:rsidR="00CA3C65">
        <w:t>D</w:t>
      </w:r>
      <w:r>
        <w:t xml:space="preserve">raft </w:t>
      </w:r>
      <w:r w:rsidRPr="00932F14">
        <w:t>variation</w:t>
      </w:r>
      <w:r w:rsidR="008E306B">
        <w:t>s</w:t>
      </w:r>
      <w:r w:rsidRPr="00932F14">
        <w:t xml:space="preserve"> to the</w:t>
      </w:r>
      <w:r w:rsidRPr="00755F02">
        <w:t xml:space="preserve"> </w:t>
      </w:r>
      <w:r w:rsidRPr="00795D86">
        <w:rPr>
          <w:i/>
        </w:rPr>
        <w:t>Australia New Zealand Food Standards Code</w:t>
      </w:r>
      <w:bookmarkEnd w:id="113"/>
      <w:r>
        <w:rPr>
          <w:i/>
        </w:rPr>
        <w:t xml:space="preserve"> </w:t>
      </w:r>
      <w:bookmarkEnd w:id="116"/>
    </w:p>
    <w:p w14:paraId="7CCD1D22" w14:textId="77777777" w:rsidR="00CF4050" w:rsidRPr="00CF4050" w:rsidRDefault="00CF4050" w:rsidP="00CF4050">
      <w:pPr>
        <w:rPr>
          <w:lang w:bidi="ar-SA"/>
        </w:rPr>
      </w:pPr>
    </w:p>
    <w:p w14:paraId="25FBEC62" w14:textId="77777777" w:rsidR="00CF4050" w:rsidRPr="00C0014E" w:rsidRDefault="00CF4050" w:rsidP="00CF4050">
      <w:pPr>
        <w:rPr>
          <w:noProof/>
          <w:sz w:val="20"/>
          <w:lang w:val="en-AU" w:eastAsia="en-AU"/>
        </w:rPr>
      </w:pPr>
      <w:r w:rsidRPr="00C0014E">
        <w:rPr>
          <w:noProof/>
          <w:sz w:val="20"/>
          <w:lang w:eastAsia="en-GB" w:bidi="ar-SA"/>
        </w:rPr>
        <w:drawing>
          <wp:inline distT="0" distB="0" distL="0" distR="0" wp14:anchorId="5D90F7C4" wp14:editId="1D7E0A00">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A83FD2" w14:textId="77777777" w:rsidR="00CF4050" w:rsidRPr="008F1620" w:rsidRDefault="00CF4050" w:rsidP="00CF4050">
      <w:pPr>
        <w:rPr>
          <w:sz w:val="20"/>
        </w:rPr>
      </w:pPr>
    </w:p>
    <w:p w14:paraId="6DA53B6B" w14:textId="77777777" w:rsidR="00CF4050" w:rsidRPr="002A7834" w:rsidRDefault="00CF4050" w:rsidP="00CF4050">
      <w:pPr>
        <w:pBdr>
          <w:bottom w:val="single" w:sz="4" w:space="1" w:color="auto"/>
        </w:pBdr>
        <w:rPr>
          <w:b/>
          <w:sz w:val="20"/>
        </w:rPr>
      </w:pPr>
      <w:r w:rsidRPr="002A7834">
        <w:rPr>
          <w:b/>
          <w:sz w:val="20"/>
        </w:rPr>
        <w:t xml:space="preserve">Food Standards </w:t>
      </w:r>
      <w:r>
        <w:rPr>
          <w:b/>
          <w:sz w:val="20"/>
        </w:rPr>
        <w:t>(</w:t>
      </w:r>
      <w:r w:rsidRPr="002A7834">
        <w:rPr>
          <w:b/>
          <w:sz w:val="20"/>
        </w:rPr>
        <w:t xml:space="preserve">Proposal </w:t>
      </w:r>
      <w:r>
        <w:rPr>
          <w:b/>
          <w:sz w:val="20"/>
        </w:rPr>
        <w:t>P1053</w:t>
      </w:r>
      <w:r w:rsidRPr="002A7834">
        <w:rPr>
          <w:b/>
          <w:sz w:val="20"/>
        </w:rPr>
        <w:t xml:space="preserve"> – </w:t>
      </w:r>
      <w:r>
        <w:rPr>
          <w:b/>
          <w:sz w:val="20"/>
        </w:rPr>
        <w:t>Food Safety Management Tools</w:t>
      </w:r>
      <w:r w:rsidRPr="002A7834">
        <w:rPr>
          <w:b/>
          <w:sz w:val="20"/>
        </w:rPr>
        <w:t>) Variation</w:t>
      </w:r>
    </w:p>
    <w:p w14:paraId="76E579CB" w14:textId="77777777" w:rsidR="00CF4050" w:rsidRPr="00C0014E" w:rsidRDefault="00CF4050" w:rsidP="00CF4050">
      <w:pPr>
        <w:pBdr>
          <w:bottom w:val="single" w:sz="4" w:space="1" w:color="auto"/>
        </w:pBdr>
        <w:rPr>
          <w:b/>
          <w:sz w:val="20"/>
        </w:rPr>
      </w:pPr>
    </w:p>
    <w:p w14:paraId="5C7E5FC0" w14:textId="77777777" w:rsidR="00CF4050" w:rsidRPr="008F2616" w:rsidRDefault="00CF4050" w:rsidP="00CF4050">
      <w:pPr>
        <w:rPr>
          <w:sz w:val="20"/>
        </w:rPr>
      </w:pPr>
    </w:p>
    <w:p w14:paraId="772C1E17" w14:textId="768BC4B7" w:rsidR="00CF4050" w:rsidRPr="0053287E" w:rsidRDefault="00CF4050" w:rsidP="00CF4050">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The Standard commences </w:t>
      </w:r>
      <w:r>
        <w:rPr>
          <w:sz w:val="20"/>
        </w:rPr>
        <w:t xml:space="preserve">on a date </w:t>
      </w:r>
      <w:r w:rsidR="00787C65">
        <w:rPr>
          <w:sz w:val="20"/>
        </w:rPr>
        <w:t xml:space="preserve">12 </w:t>
      </w:r>
      <w:r>
        <w:rPr>
          <w:sz w:val="20"/>
        </w:rPr>
        <w:t>months after the date of gazetta</w:t>
      </w:r>
      <w:r w:rsidRPr="00E76359">
        <w:rPr>
          <w:sz w:val="20"/>
        </w:rPr>
        <w:t>l.</w:t>
      </w:r>
    </w:p>
    <w:p w14:paraId="728B5449" w14:textId="77777777" w:rsidR="00CF4050" w:rsidRPr="008F2616" w:rsidRDefault="00CF4050" w:rsidP="00CF4050">
      <w:pPr>
        <w:rPr>
          <w:sz w:val="20"/>
        </w:rPr>
      </w:pPr>
    </w:p>
    <w:p w14:paraId="662D5F24" w14:textId="77777777" w:rsidR="00CF4050" w:rsidRDefault="00CF4050" w:rsidP="00CF4050">
      <w:pPr>
        <w:rPr>
          <w:sz w:val="20"/>
        </w:rPr>
      </w:pPr>
      <w:r>
        <w:rPr>
          <w:sz w:val="20"/>
        </w:rPr>
        <w:t>Dated [To be completed by the Delegate]</w:t>
      </w:r>
    </w:p>
    <w:p w14:paraId="75A7D432" w14:textId="77777777" w:rsidR="00CF4050" w:rsidRDefault="00CF4050" w:rsidP="00CF4050">
      <w:pPr>
        <w:rPr>
          <w:sz w:val="20"/>
        </w:rPr>
      </w:pPr>
    </w:p>
    <w:p w14:paraId="4284867D" w14:textId="77777777" w:rsidR="00CF4050" w:rsidRDefault="00CF4050" w:rsidP="00CF4050">
      <w:pPr>
        <w:rPr>
          <w:sz w:val="20"/>
        </w:rPr>
      </w:pPr>
    </w:p>
    <w:p w14:paraId="71283ADB" w14:textId="77777777" w:rsidR="00CF4050" w:rsidRDefault="00CF4050" w:rsidP="00CF4050">
      <w:pPr>
        <w:rPr>
          <w:sz w:val="20"/>
        </w:rPr>
      </w:pPr>
      <w:r>
        <w:rPr>
          <w:sz w:val="20"/>
        </w:rPr>
        <w:t>[Name of Delegate]</w:t>
      </w:r>
    </w:p>
    <w:p w14:paraId="2F66CE68" w14:textId="77777777" w:rsidR="00CF4050" w:rsidRPr="008F2616" w:rsidRDefault="00CF4050" w:rsidP="00CF4050">
      <w:pPr>
        <w:rPr>
          <w:sz w:val="20"/>
        </w:rPr>
      </w:pPr>
      <w:r w:rsidRPr="008F2616">
        <w:rPr>
          <w:sz w:val="20"/>
        </w:rPr>
        <w:t>Delegate of the Board of Food Standards Australia New Zealand</w:t>
      </w:r>
    </w:p>
    <w:p w14:paraId="16094686" w14:textId="77777777" w:rsidR="00CF4050" w:rsidRPr="00713686" w:rsidRDefault="00CF4050" w:rsidP="00CF4050">
      <w:pPr>
        <w:rPr>
          <w:sz w:val="20"/>
        </w:rPr>
      </w:pPr>
    </w:p>
    <w:p w14:paraId="7CE334E1" w14:textId="77777777" w:rsidR="00CF4050" w:rsidRPr="00713686" w:rsidRDefault="00CF4050" w:rsidP="00CF4050">
      <w:pPr>
        <w:rPr>
          <w:sz w:val="20"/>
        </w:rPr>
      </w:pPr>
    </w:p>
    <w:p w14:paraId="33709067" w14:textId="77777777" w:rsidR="00CF4050" w:rsidRPr="00713686" w:rsidRDefault="00CF4050" w:rsidP="00CF4050">
      <w:pPr>
        <w:rPr>
          <w:sz w:val="20"/>
        </w:rPr>
      </w:pPr>
    </w:p>
    <w:p w14:paraId="00609238" w14:textId="77777777" w:rsidR="00CF4050" w:rsidRPr="00713686" w:rsidRDefault="00CF4050" w:rsidP="00CF4050">
      <w:pPr>
        <w:rPr>
          <w:sz w:val="20"/>
        </w:rPr>
      </w:pPr>
    </w:p>
    <w:p w14:paraId="13D616CF" w14:textId="77777777" w:rsidR="00CF4050" w:rsidRPr="00713686" w:rsidRDefault="00CF4050" w:rsidP="00CF4050">
      <w:pPr>
        <w:rPr>
          <w:sz w:val="20"/>
        </w:rPr>
      </w:pPr>
    </w:p>
    <w:p w14:paraId="1735B9FA" w14:textId="1794B3B8" w:rsidR="00CF4050" w:rsidRPr="00713686" w:rsidRDefault="00CF4050" w:rsidP="00CF4050">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sidR="00FC252D">
        <w:rPr>
          <w:b/>
          <w:sz w:val="20"/>
          <w:lang w:val="en-AU"/>
        </w:rPr>
        <w:t xml:space="preserve"> </w:t>
      </w:r>
    </w:p>
    <w:p w14:paraId="032C6533" w14:textId="77777777" w:rsidR="00CF4050" w:rsidRPr="00713686" w:rsidRDefault="00CF4050" w:rsidP="00CF4050">
      <w:pPr>
        <w:pBdr>
          <w:top w:val="single" w:sz="4" w:space="1" w:color="auto"/>
          <w:left w:val="single" w:sz="4" w:space="4" w:color="auto"/>
          <w:bottom w:val="single" w:sz="4" w:space="1" w:color="auto"/>
          <w:right w:val="single" w:sz="4" w:space="4" w:color="auto"/>
        </w:pBdr>
        <w:rPr>
          <w:sz w:val="20"/>
          <w:lang w:val="en-AU"/>
        </w:rPr>
      </w:pPr>
    </w:p>
    <w:p w14:paraId="59331618" w14:textId="77777777" w:rsidR="00CF4050" w:rsidRPr="00713686" w:rsidRDefault="00CF4050" w:rsidP="00CF4050">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713686">
        <w:rPr>
          <w:color w:val="FF0000"/>
          <w:sz w:val="20"/>
          <w:lang w:val="en-AU"/>
        </w:rPr>
        <w:t>XX on XX Month 20XX</w:t>
      </w:r>
      <w:r w:rsidRPr="00713686">
        <w:rPr>
          <w:sz w:val="20"/>
          <w:lang w:val="en-AU"/>
        </w:rPr>
        <w:t xml:space="preserve">. This means that this date is the gazettal date for the purposes of the above notice. </w:t>
      </w:r>
    </w:p>
    <w:p w14:paraId="17E38E71" w14:textId="77777777" w:rsidR="00CF4050" w:rsidRDefault="00CF4050" w:rsidP="00CF4050">
      <w:pPr>
        <w:rPr>
          <w:sz w:val="20"/>
        </w:rPr>
      </w:pPr>
    </w:p>
    <w:p w14:paraId="0FDC3B14" w14:textId="77777777" w:rsidR="00CF4050" w:rsidRDefault="00CF4050" w:rsidP="00CF4050">
      <w:pPr>
        <w:widowControl/>
        <w:rPr>
          <w:sz w:val="20"/>
        </w:rPr>
      </w:pPr>
      <w:r>
        <w:rPr>
          <w:sz w:val="20"/>
        </w:rPr>
        <w:br w:type="page"/>
      </w:r>
    </w:p>
    <w:p w14:paraId="0ED32052" w14:textId="4D3C867E" w:rsidR="00CF4050" w:rsidRPr="00E71572" w:rsidRDefault="00CF4050" w:rsidP="00CF4050">
      <w:pPr>
        <w:pStyle w:val="FSCh3Standard"/>
      </w:pPr>
      <w:bookmarkStart w:id="117" w:name="_Toc94172684"/>
      <w:r>
        <w:lastRenderedPageBreak/>
        <w:t>Standard 3.2.2A</w:t>
      </w:r>
      <w:r w:rsidR="00FC252D">
        <w:t xml:space="preserve"> </w:t>
      </w:r>
      <w:r w:rsidRPr="00E71572">
        <w:t xml:space="preserve"> </w:t>
      </w:r>
      <w:r w:rsidRPr="00E71572">
        <w:tab/>
      </w:r>
      <w:r>
        <w:t>Food Safety Management Tools</w:t>
      </w:r>
      <w:bookmarkEnd w:id="117"/>
    </w:p>
    <w:p w14:paraId="548BAA27" w14:textId="77777777" w:rsidR="00CF4050" w:rsidRPr="001D1563" w:rsidRDefault="00CF4050" w:rsidP="00CF4050">
      <w:pPr>
        <w:pStyle w:val="FSCnatHeading"/>
      </w:pPr>
      <w:bookmarkStart w:id="118" w:name="_Toc371505286"/>
      <w:r w:rsidRPr="00B37E28">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8659AF">
        <w:rPr>
          <w:i/>
        </w:rPr>
        <w:t>Australia New Zealand Food Standards Code</w:t>
      </w:r>
      <w:r w:rsidRPr="001D1563">
        <w:rPr>
          <w:i/>
        </w:rPr>
        <w:t>.</w:t>
      </w:r>
      <w:r w:rsidRPr="001D1563">
        <w:t xml:space="preserve"> </w:t>
      </w:r>
      <w:r>
        <w:t>See also section 1.1.1—3</w:t>
      </w:r>
      <w:r w:rsidRPr="001D1563">
        <w:t>.</w:t>
      </w:r>
    </w:p>
    <w:p w14:paraId="0D0B7522" w14:textId="77777777" w:rsidR="00CF4050" w:rsidRDefault="00CF4050" w:rsidP="00CF4050">
      <w:pPr>
        <w:pStyle w:val="FSCnatHeading"/>
      </w:pPr>
      <w:r>
        <w:rPr>
          <w:b/>
          <w:i/>
        </w:rPr>
        <w:t>Note 2</w:t>
      </w:r>
      <w:r>
        <w:tab/>
        <w:t>This Standard applies in Australia only.</w:t>
      </w:r>
    </w:p>
    <w:bookmarkEnd w:id="118"/>
    <w:p w14:paraId="0B996076" w14:textId="77777777" w:rsidR="00CF4050" w:rsidRPr="00E71572" w:rsidRDefault="00CF4050" w:rsidP="00CF4050">
      <w:pPr>
        <w:pStyle w:val="FSCh5Section"/>
      </w:pPr>
      <w:r>
        <w:t>3.2.2A</w:t>
      </w:r>
      <w:r w:rsidRPr="00E71572">
        <w:t>—1</w:t>
      </w:r>
      <w:r w:rsidRPr="00E71572">
        <w:tab/>
      </w:r>
      <w:r>
        <w:t>Name</w:t>
      </w:r>
    </w:p>
    <w:p w14:paraId="161650CF" w14:textId="77777777" w:rsidR="00CF4050" w:rsidRPr="008659AF" w:rsidRDefault="00CF4050" w:rsidP="00CF4050">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3.2.2A</w:t>
      </w:r>
      <w:r w:rsidRPr="008659AF">
        <w:t xml:space="preserve"> – </w:t>
      </w:r>
      <w:r>
        <w:t>Food Safety Management Tools</w:t>
      </w:r>
      <w:r w:rsidRPr="008659AF">
        <w:t>.</w:t>
      </w:r>
    </w:p>
    <w:p w14:paraId="7126C2AE" w14:textId="3BEE357D" w:rsidR="00CF4050" w:rsidRPr="00E76359" w:rsidRDefault="00CF4050" w:rsidP="00CF4050">
      <w:pPr>
        <w:pStyle w:val="FSCnMain"/>
      </w:pPr>
      <w:r w:rsidRPr="00E76359">
        <w:tab/>
      </w:r>
      <w:r w:rsidRPr="00E76359">
        <w:rPr>
          <w:b/>
          <w:i/>
        </w:rPr>
        <w:t>Note</w:t>
      </w:r>
      <w:r w:rsidRPr="00E76359">
        <w:rPr>
          <w:b/>
          <w:i/>
        </w:rPr>
        <w:tab/>
      </w:r>
      <w:r w:rsidRPr="00E76359">
        <w:t>Commencement:</w:t>
      </w:r>
      <w:r w:rsidRPr="00E76359">
        <w:rPr>
          <w:i/>
        </w:rPr>
        <w:br/>
      </w:r>
      <w:r w:rsidRPr="00E76359">
        <w:t>This Standard commences</w:t>
      </w:r>
      <w:r>
        <w:t xml:space="preserve"> </w:t>
      </w:r>
      <w:r w:rsidDel="00D36DF1">
        <w:t>on</w:t>
      </w:r>
      <w:r w:rsidRPr="00E76359">
        <w:t xml:space="preserve"> a date that is </w:t>
      </w:r>
      <w:r w:rsidR="00787C65">
        <w:t>12</w:t>
      </w:r>
      <w:r w:rsidR="00787C65" w:rsidRPr="00E76359">
        <w:t xml:space="preserve"> </w:t>
      </w:r>
      <w:r w:rsidRPr="00E76359">
        <w:t xml:space="preserve">months after the date of gazettal, being the date specified as the commencement date in notices in the </w:t>
      </w:r>
      <w:r w:rsidRPr="00E76359">
        <w:rPr>
          <w:i/>
        </w:rPr>
        <w:t>Gazette</w:t>
      </w:r>
      <w:r w:rsidRPr="00E76359">
        <w:t xml:space="preserve"> and the New Zealand Gazette under section 92 of the </w:t>
      </w:r>
      <w:r w:rsidRPr="00E76359">
        <w:rPr>
          <w:i/>
        </w:rPr>
        <w:t>Food Standards Australia New Zealand Act 1991</w:t>
      </w:r>
      <w:r w:rsidRPr="00E76359">
        <w:t xml:space="preserve"> (Cth). See also section 93 of that Act.</w:t>
      </w:r>
    </w:p>
    <w:p w14:paraId="770770DD" w14:textId="77777777" w:rsidR="00CF4050" w:rsidRPr="00E71572" w:rsidRDefault="00CF4050" w:rsidP="00CF4050">
      <w:pPr>
        <w:pStyle w:val="FSCh5Section"/>
      </w:pPr>
      <w:r>
        <w:t>3.2.2A—2</w:t>
      </w:r>
      <w:r w:rsidRPr="00E71572">
        <w:tab/>
      </w:r>
      <w:r>
        <w:t>Definitions</w:t>
      </w:r>
    </w:p>
    <w:p w14:paraId="7381BE9A" w14:textId="77777777" w:rsidR="00CF4050" w:rsidRDefault="00CF4050" w:rsidP="00CF4050">
      <w:pPr>
        <w:pStyle w:val="FSCtDefn"/>
        <w:rPr>
          <w:b/>
          <w:i/>
        </w:rPr>
      </w:pPr>
      <w:r>
        <w:t>In this Standard:</w:t>
      </w:r>
    </w:p>
    <w:p w14:paraId="5379FE93" w14:textId="77777777" w:rsidR="00CF4050" w:rsidRPr="000B5725" w:rsidRDefault="00CF4050" w:rsidP="00CF4050">
      <w:pPr>
        <w:pStyle w:val="FSCtPara"/>
        <w:spacing w:before="120" w:after="120"/>
        <w:ind w:left="1701" w:firstLine="0"/>
        <w:rPr>
          <w:szCs w:val="20"/>
        </w:rPr>
      </w:pPr>
      <w:r w:rsidRPr="000B5725">
        <w:rPr>
          <w:b/>
          <w:i/>
          <w:szCs w:val="20"/>
        </w:rPr>
        <w:t>category one business</w:t>
      </w:r>
      <w:r w:rsidRPr="000B5725">
        <w:rPr>
          <w:szCs w:val="20"/>
        </w:rPr>
        <w:t>—see</w:t>
      </w:r>
      <w:r w:rsidRPr="000B5725">
        <w:rPr>
          <w:b/>
          <w:i/>
          <w:szCs w:val="20"/>
        </w:rPr>
        <w:t xml:space="preserve"> </w:t>
      </w:r>
      <w:r>
        <w:t>3.2.2A—6</w:t>
      </w:r>
      <w:r w:rsidRPr="000B5725">
        <w:t>.</w:t>
      </w:r>
    </w:p>
    <w:p w14:paraId="0A282526" w14:textId="77777777" w:rsidR="00CF4050" w:rsidRDefault="00CF4050" w:rsidP="00CF4050">
      <w:pPr>
        <w:pStyle w:val="FSCtDefn"/>
        <w:rPr>
          <w:b/>
          <w:i/>
        </w:rPr>
      </w:pPr>
      <w:r w:rsidRPr="000B5725">
        <w:rPr>
          <w:b/>
          <w:i/>
          <w:szCs w:val="20"/>
        </w:rPr>
        <w:t>category two business</w:t>
      </w:r>
      <w:r w:rsidRPr="000B5725">
        <w:rPr>
          <w:szCs w:val="20"/>
        </w:rPr>
        <w:t>—see</w:t>
      </w:r>
      <w:r w:rsidRPr="000B5725">
        <w:rPr>
          <w:b/>
          <w:i/>
          <w:szCs w:val="20"/>
        </w:rPr>
        <w:t xml:space="preserve"> </w:t>
      </w:r>
      <w:r>
        <w:t>3.2.2A—7</w:t>
      </w:r>
      <w:r w:rsidRPr="000B5725">
        <w:rPr>
          <w:szCs w:val="20"/>
          <w:lang w:val="en-AU"/>
        </w:rPr>
        <w:t>.</w:t>
      </w:r>
    </w:p>
    <w:p w14:paraId="4125CAD1" w14:textId="77777777" w:rsidR="00CF4050" w:rsidRDefault="00CF4050" w:rsidP="00CF4050">
      <w:pPr>
        <w:pStyle w:val="FSCtDefn"/>
      </w:pPr>
      <w:r>
        <w:rPr>
          <w:b/>
          <w:i/>
        </w:rPr>
        <w:t xml:space="preserve">food safety supervisor </w:t>
      </w:r>
      <w:r>
        <w:t>means a person who:</w:t>
      </w:r>
    </w:p>
    <w:p w14:paraId="61E28D9D" w14:textId="77777777" w:rsidR="00CF4050" w:rsidRDefault="00CF4050" w:rsidP="00CF4050">
      <w:pPr>
        <w:pStyle w:val="FSCtPara"/>
        <w:numPr>
          <w:ilvl w:val="0"/>
          <w:numId w:val="43"/>
        </w:numPr>
      </w:pPr>
      <w:r>
        <w:t>holds a food safety supervisor certificate that has been issued within the immediately preceding period of 5 years; and</w:t>
      </w:r>
    </w:p>
    <w:p w14:paraId="4B5FAA22" w14:textId="77777777" w:rsidR="00CF4050" w:rsidRDefault="00CF4050" w:rsidP="00CF4050">
      <w:pPr>
        <w:pStyle w:val="FSCtPara"/>
        <w:numPr>
          <w:ilvl w:val="0"/>
          <w:numId w:val="43"/>
        </w:numPr>
        <w:ind w:left="2274" w:hanging="573"/>
      </w:pPr>
      <w:r>
        <w:t>has the authority and ability to manage and give direction on the safe handling of food.</w:t>
      </w:r>
    </w:p>
    <w:p w14:paraId="300EBBFC" w14:textId="77777777" w:rsidR="00CF4050" w:rsidRDefault="00CF4050" w:rsidP="00CF4050">
      <w:pPr>
        <w:pStyle w:val="FSCtDefn"/>
      </w:pPr>
      <w:r w:rsidRPr="00C057E3">
        <w:rPr>
          <w:b/>
          <w:i/>
        </w:rPr>
        <w:t>food safety supervisor certificate</w:t>
      </w:r>
      <w:r>
        <w:t xml:space="preserve"> means certification as a food safety supervisor by:</w:t>
      </w:r>
    </w:p>
    <w:p w14:paraId="404E8006" w14:textId="77777777" w:rsidR="00CF4050" w:rsidRDefault="00CF4050" w:rsidP="00CF4050">
      <w:pPr>
        <w:pStyle w:val="FSCtDefn"/>
        <w:numPr>
          <w:ilvl w:val="0"/>
          <w:numId w:val="40"/>
        </w:numPr>
        <w:spacing w:before="60" w:after="60"/>
        <w:ind w:left="2058" w:hanging="357"/>
      </w:pPr>
      <w:r>
        <w:t xml:space="preserve"> a registered training organisation; or </w:t>
      </w:r>
    </w:p>
    <w:p w14:paraId="1E9238FA" w14:textId="77777777" w:rsidR="00CF4050" w:rsidRPr="002D15E9" w:rsidRDefault="00CF4050" w:rsidP="00CF4050">
      <w:pPr>
        <w:pStyle w:val="FSCtDefn"/>
        <w:numPr>
          <w:ilvl w:val="0"/>
          <w:numId w:val="40"/>
        </w:numPr>
        <w:spacing w:before="60" w:after="60"/>
        <w:ind w:left="2058" w:hanging="357"/>
        <w:rPr>
          <w:b/>
          <w:i/>
        </w:rPr>
      </w:pPr>
      <w:r>
        <w:t>an organisation recognised by the *relevant authority under the application Act.</w:t>
      </w:r>
    </w:p>
    <w:p w14:paraId="6AA09DA5" w14:textId="77777777" w:rsidR="00CF4050" w:rsidRDefault="00CF4050" w:rsidP="00CF4050">
      <w:pPr>
        <w:pStyle w:val="FSCtDefn"/>
      </w:pPr>
      <w:r>
        <w:rPr>
          <w:b/>
          <w:i/>
        </w:rPr>
        <w:t xml:space="preserve">food safety training course </w:t>
      </w:r>
      <w:r w:rsidRPr="005D2134">
        <w:t xml:space="preserve">means training </w:t>
      </w:r>
      <w:r>
        <w:t>i</w:t>
      </w:r>
      <w:r w:rsidRPr="005D2134">
        <w:t>n food safety that includes</w:t>
      </w:r>
      <w:r>
        <w:t xml:space="preserve"> training in each of the following;</w:t>
      </w:r>
    </w:p>
    <w:p w14:paraId="2ECCA014" w14:textId="77777777" w:rsidR="00CF4050" w:rsidRDefault="00CF4050" w:rsidP="00CF4050">
      <w:pPr>
        <w:pStyle w:val="FSCtPara"/>
        <w:numPr>
          <w:ilvl w:val="0"/>
          <w:numId w:val="39"/>
        </w:numPr>
        <w:ind w:left="2274" w:hanging="573"/>
      </w:pPr>
      <w:r>
        <w:t>safe handling of food; and</w:t>
      </w:r>
    </w:p>
    <w:p w14:paraId="7B25F0A2" w14:textId="77777777" w:rsidR="00CF4050" w:rsidRDefault="00CF4050" w:rsidP="00CF4050">
      <w:pPr>
        <w:pStyle w:val="FSCtPara"/>
        <w:numPr>
          <w:ilvl w:val="0"/>
          <w:numId w:val="39"/>
        </w:numPr>
        <w:ind w:left="2274" w:hanging="573"/>
      </w:pPr>
      <w:r>
        <w:lastRenderedPageBreak/>
        <w:t xml:space="preserve">food </w:t>
      </w:r>
      <w:r w:rsidRPr="00ED198F">
        <w:t>contamination</w:t>
      </w:r>
      <w:r>
        <w:t>; and</w:t>
      </w:r>
    </w:p>
    <w:p w14:paraId="798D8117" w14:textId="77777777" w:rsidR="00CF4050" w:rsidRDefault="00CF4050" w:rsidP="00CF4050">
      <w:pPr>
        <w:pStyle w:val="FSCtPara"/>
        <w:numPr>
          <w:ilvl w:val="0"/>
          <w:numId w:val="39"/>
        </w:numPr>
        <w:ind w:left="2274" w:hanging="573"/>
      </w:pPr>
      <w:r w:rsidRPr="00ED198F">
        <w:t xml:space="preserve">cleaning and sanitising </w:t>
      </w:r>
      <w:r>
        <w:t>of food premises and equipment; and</w:t>
      </w:r>
    </w:p>
    <w:p w14:paraId="449E5481" w14:textId="77777777" w:rsidR="00CF4050" w:rsidRDefault="00CF4050" w:rsidP="00CF4050">
      <w:pPr>
        <w:pStyle w:val="FSCtPara"/>
        <w:numPr>
          <w:ilvl w:val="0"/>
          <w:numId w:val="39"/>
        </w:numPr>
        <w:ind w:left="2274" w:hanging="573"/>
      </w:pPr>
      <w:r>
        <w:t>personal hygiene.</w:t>
      </w:r>
    </w:p>
    <w:p w14:paraId="091CAA2A" w14:textId="77777777" w:rsidR="00CF4050" w:rsidRDefault="00CF4050" w:rsidP="00CF4050">
      <w:pPr>
        <w:pStyle w:val="FSCtPara"/>
        <w:spacing w:before="120" w:after="120"/>
        <w:ind w:left="1701" w:firstLine="0"/>
        <w:rPr>
          <w:szCs w:val="20"/>
        </w:rPr>
      </w:pPr>
      <w:r>
        <w:rPr>
          <w:b/>
          <w:i/>
          <w:szCs w:val="20"/>
        </w:rPr>
        <w:t xml:space="preserve">potentially hazardous food </w:t>
      </w:r>
      <w:r>
        <w:rPr>
          <w:szCs w:val="20"/>
        </w:rPr>
        <w:t>means food that has to be kept at certain temperatures to:</w:t>
      </w:r>
    </w:p>
    <w:p w14:paraId="2BB8C3CF" w14:textId="77777777" w:rsidR="00CF4050" w:rsidRPr="00B76AA6" w:rsidRDefault="00CF4050" w:rsidP="00CF4050">
      <w:pPr>
        <w:pStyle w:val="FSCtPara"/>
        <w:numPr>
          <w:ilvl w:val="0"/>
          <w:numId w:val="42"/>
        </w:numPr>
        <w:ind w:left="2268" w:hanging="567"/>
        <w:rPr>
          <w:szCs w:val="20"/>
        </w:rPr>
      </w:pPr>
      <w:r w:rsidRPr="00B76AA6">
        <w:rPr>
          <w:szCs w:val="20"/>
        </w:rPr>
        <w:t>minimise the growth of any pathogenic microorganisms that may be present in the food; or</w:t>
      </w:r>
    </w:p>
    <w:p w14:paraId="6A3C98AA" w14:textId="77777777" w:rsidR="00CF4050" w:rsidRDefault="00CF4050" w:rsidP="00CF4050">
      <w:pPr>
        <w:pStyle w:val="FSCtPara"/>
        <w:numPr>
          <w:ilvl w:val="0"/>
          <w:numId w:val="42"/>
        </w:numPr>
        <w:ind w:left="2268" w:hanging="567"/>
        <w:rPr>
          <w:szCs w:val="20"/>
        </w:rPr>
      </w:pPr>
      <w:r w:rsidRPr="00B76AA6">
        <w:rPr>
          <w:szCs w:val="20"/>
        </w:rPr>
        <w:t>prevent</w:t>
      </w:r>
      <w:r>
        <w:rPr>
          <w:szCs w:val="20"/>
        </w:rPr>
        <w:t xml:space="preserve"> the formation of toxins in the food.</w:t>
      </w:r>
    </w:p>
    <w:p w14:paraId="31B9A200" w14:textId="32FF632E" w:rsidR="00CF4050" w:rsidRDefault="00CF4050" w:rsidP="00CF4050">
      <w:pPr>
        <w:pStyle w:val="FSCtPara"/>
        <w:spacing w:before="120" w:after="120"/>
        <w:ind w:left="1701" w:firstLine="0"/>
      </w:pPr>
      <w:r>
        <w:rPr>
          <w:b/>
          <w:i/>
        </w:rPr>
        <w:t>prescribed</w:t>
      </w:r>
      <w:r w:rsidRPr="00100A67">
        <w:rPr>
          <w:b/>
          <w:i/>
        </w:rPr>
        <w:t xml:space="preserve"> activity</w:t>
      </w:r>
      <w:r>
        <w:rPr>
          <w:szCs w:val="20"/>
        </w:rPr>
        <w:t>—see</w:t>
      </w:r>
      <w:r>
        <w:rPr>
          <w:b/>
          <w:i/>
          <w:szCs w:val="20"/>
        </w:rPr>
        <w:t xml:space="preserve"> </w:t>
      </w:r>
      <w:r>
        <w:t>3.2.2A—5</w:t>
      </w:r>
      <w:r w:rsidR="00215FE8">
        <w:t>.</w:t>
      </w:r>
    </w:p>
    <w:p w14:paraId="3988B796" w14:textId="77777777" w:rsidR="00CF4050" w:rsidRPr="003D735B" w:rsidRDefault="00CF4050" w:rsidP="00CF4050">
      <w:pPr>
        <w:pStyle w:val="FSCtPara"/>
        <w:spacing w:before="120" w:after="120"/>
        <w:ind w:left="1701" w:firstLine="0"/>
        <w:rPr>
          <w:szCs w:val="20"/>
        </w:rPr>
      </w:pPr>
      <w:r>
        <w:rPr>
          <w:b/>
          <w:i/>
          <w:szCs w:val="20"/>
        </w:rPr>
        <w:t xml:space="preserve">process, </w:t>
      </w:r>
      <w:r>
        <w:rPr>
          <w:szCs w:val="20"/>
        </w:rPr>
        <w:t>in relation to food, means activity conducted to prepare food for sale and includes chopping, cooking, drying, fermenting, heating, thawing and washing, or a combination of these activities.</w:t>
      </w:r>
      <w:r>
        <w:rPr>
          <w:b/>
          <w:i/>
          <w:szCs w:val="20"/>
        </w:rPr>
        <w:t xml:space="preserve"> </w:t>
      </w:r>
    </w:p>
    <w:p w14:paraId="4CF7CA50" w14:textId="77777777" w:rsidR="00CF4050" w:rsidRDefault="00CF4050" w:rsidP="00CF4050">
      <w:pPr>
        <w:pStyle w:val="FSCtPara"/>
        <w:spacing w:before="120" w:after="120"/>
        <w:ind w:left="1701" w:firstLine="0"/>
        <w:rPr>
          <w:szCs w:val="20"/>
        </w:rPr>
      </w:pPr>
      <w:r>
        <w:rPr>
          <w:b/>
          <w:i/>
          <w:szCs w:val="20"/>
        </w:rPr>
        <w:t xml:space="preserve">ready-to-eat food </w:t>
      </w:r>
      <w:r>
        <w:rPr>
          <w:szCs w:val="20"/>
        </w:rPr>
        <w:t>means food that is ordinarily consumed in the same state as that in which it is sold, but does not include:</w:t>
      </w:r>
    </w:p>
    <w:p w14:paraId="59192A37" w14:textId="77777777" w:rsidR="00CF4050" w:rsidRDefault="00CF4050" w:rsidP="00CF4050">
      <w:pPr>
        <w:pStyle w:val="FSCtPara"/>
        <w:numPr>
          <w:ilvl w:val="0"/>
          <w:numId w:val="41"/>
        </w:numPr>
        <w:ind w:left="2058" w:hanging="357"/>
        <w:rPr>
          <w:szCs w:val="20"/>
        </w:rPr>
      </w:pPr>
      <w:r>
        <w:rPr>
          <w:szCs w:val="20"/>
        </w:rPr>
        <w:t>nuts in the shell; or</w:t>
      </w:r>
    </w:p>
    <w:p w14:paraId="357560F0" w14:textId="77777777" w:rsidR="00CF4050" w:rsidRDefault="00CF4050" w:rsidP="00CF4050">
      <w:pPr>
        <w:pStyle w:val="FSCtPara"/>
        <w:numPr>
          <w:ilvl w:val="0"/>
          <w:numId w:val="41"/>
        </w:numPr>
        <w:ind w:left="2058" w:hanging="357"/>
        <w:rPr>
          <w:szCs w:val="20"/>
        </w:rPr>
      </w:pPr>
      <w:r w:rsidRPr="007F3BE8">
        <w:rPr>
          <w:szCs w:val="20"/>
        </w:rPr>
        <w:t>whole, raw fruits</w:t>
      </w:r>
      <w:r>
        <w:rPr>
          <w:szCs w:val="20"/>
        </w:rPr>
        <w:t>; or</w:t>
      </w:r>
    </w:p>
    <w:p w14:paraId="7314B2AC" w14:textId="77777777" w:rsidR="00CF4050" w:rsidRDefault="00CF4050" w:rsidP="00CF4050">
      <w:pPr>
        <w:pStyle w:val="FSCtPara"/>
        <w:numPr>
          <w:ilvl w:val="0"/>
          <w:numId w:val="41"/>
        </w:numPr>
        <w:ind w:left="2058" w:hanging="357"/>
        <w:rPr>
          <w:szCs w:val="20"/>
        </w:rPr>
      </w:pPr>
      <w:r w:rsidRPr="007F3BE8">
        <w:rPr>
          <w:szCs w:val="20"/>
        </w:rPr>
        <w:t>vegetables that are intended for hulling, peeling or washing by the consumer.</w:t>
      </w:r>
    </w:p>
    <w:p w14:paraId="7C17685E" w14:textId="77777777" w:rsidR="00CF4050" w:rsidRPr="001D1563" w:rsidRDefault="00CF4050" w:rsidP="00CF4050">
      <w:pPr>
        <w:pStyle w:val="FSCnatHeading"/>
      </w:pPr>
      <w:r w:rsidRPr="001D1563">
        <w:rPr>
          <w:b/>
          <w:i/>
        </w:rPr>
        <w:t>Note 1</w:t>
      </w:r>
      <w:r w:rsidRPr="001D1563">
        <w:tab/>
        <w:t>In this Code (see section 1.1.2—2):</w:t>
      </w:r>
    </w:p>
    <w:p w14:paraId="290BCFF7" w14:textId="77777777" w:rsidR="00CF4050" w:rsidRDefault="00CF4050" w:rsidP="00CF4050">
      <w:pPr>
        <w:pStyle w:val="FSCnatHeading"/>
      </w:pPr>
      <w:r>
        <w:rPr>
          <w:b/>
          <w:i/>
          <w:szCs w:val="16"/>
        </w:rPr>
        <w:t xml:space="preserve"> </w:t>
      </w:r>
      <w:r>
        <w:rPr>
          <w:b/>
          <w:i/>
          <w:szCs w:val="16"/>
        </w:rPr>
        <w:tab/>
      </w:r>
      <w:r w:rsidRPr="00C057E3">
        <w:rPr>
          <w:b/>
          <w:i/>
        </w:rPr>
        <w:t>application Act</w:t>
      </w:r>
      <w:r w:rsidRPr="00C057E3">
        <w:rPr>
          <w:b/>
          <w:i/>
          <w:szCs w:val="16"/>
        </w:rPr>
        <w:t xml:space="preserve"> </w:t>
      </w:r>
      <w:r w:rsidRPr="00BD6A2F">
        <w:t>means an Act or Ordinance of a *jurisdiction under which the requirements of this Code are applied in the jurisdiction</w:t>
      </w:r>
      <w:r>
        <w:t>.</w:t>
      </w:r>
    </w:p>
    <w:p w14:paraId="45360D46" w14:textId="77777777" w:rsidR="00CF4050" w:rsidRPr="00B241BA" w:rsidRDefault="00CF4050" w:rsidP="00CF4050">
      <w:pPr>
        <w:pStyle w:val="FSCnatHeading"/>
        <w:rPr>
          <w:b/>
          <w:i/>
          <w:szCs w:val="16"/>
        </w:rPr>
      </w:pPr>
      <w:r>
        <w:rPr>
          <w:b/>
          <w:i/>
          <w:szCs w:val="16"/>
        </w:rPr>
        <w:tab/>
      </w:r>
      <w:r w:rsidRPr="00D00E56">
        <w:rPr>
          <w:b/>
          <w:i/>
          <w:szCs w:val="16"/>
        </w:rPr>
        <w:t>authorised officer</w:t>
      </w:r>
      <w:r w:rsidRPr="00B36FD3">
        <w:rPr>
          <w:szCs w:val="16"/>
        </w:rPr>
        <w:t>, in relation to a jurisdiction, means a person authorised or appointed under an application Act or other legislation of the relevant *jurisdiction for the purposes of enforcement of a provision of the relevant application Act, or for purposes that include that purpose.</w:t>
      </w:r>
    </w:p>
    <w:p w14:paraId="45A80867" w14:textId="77777777" w:rsidR="00CF4050" w:rsidRDefault="00CF4050" w:rsidP="00CF4050">
      <w:pPr>
        <w:pStyle w:val="FSCtDefn"/>
        <w:ind w:left="851" w:hanging="851"/>
        <w:rPr>
          <w:sz w:val="16"/>
          <w:szCs w:val="16"/>
        </w:rPr>
      </w:pPr>
      <w:r w:rsidRPr="00596101">
        <w:rPr>
          <w:b/>
          <w:i/>
          <w:sz w:val="16"/>
          <w:szCs w:val="16"/>
        </w:rPr>
        <w:tab/>
      </w:r>
      <w:r w:rsidRPr="00BE1235">
        <w:rPr>
          <w:b/>
          <w:bCs/>
          <w:i/>
          <w:iCs w:val="0"/>
          <w:sz w:val="16"/>
          <w:szCs w:val="16"/>
        </w:rPr>
        <w:t xml:space="preserve">caterer </w:t>
      </w:r>
      <w:r w:rsidRPr="00BE1235">
        <w:rPr>
          <w:sz w:val="16"/>
          <w:szCs w:val="16"/>
        </w:rPr>
        <w:t>means a person, establishment or institution (for example, a catering establishment, a restaurant, a canteen, a school, or a hospital) which handles or offers food for immediate consumption</w:t>
      </w:r>
      <w:r>
        <w:rPr>
          <w:sz w:val="16"/>
          <w:szCs w:val="16"/>
        </w:rPr>
        <w:t>.</w:t>
      </w:r>
      <w:r w:rsidRPr="00BE1235">
        <w:rPr>
          <w:sz w:val="16"/>
          <w:szCs w:val="16"/>
        </w:rPr>
        <w:t xml:space="preserve"> </w:t>
      </w:r>
    </w:p>
    <w:p w14:paraId="5A572651" w14:textId="77777777" w:rsidR="00CF4050" w:rsidRPr="00BE1235" w:rsidRDefault="00CF4050" w:rsidP="00CF4050">
      <w:pPr>
        <w:pStyle w:val="FSCtDefn"/>
        <w:ind w:left="851" w:hanging="851"/>
        <w:rPr>
          <w:sz w:val="16"/>
          <w:szCs w:val="16"/>
        </w:rPr>
      </w:pPr>
      <w:r>
        <w:rPr>
          <w:sz w:val="16"/>
          <w:szCs w:val="16"/>
        </w:rPr>
        <w:tab/>
      </w:r>
      <w:r>
        <w:rPr>
          <w:b/>
          <w:i/>
          <w:sz w:val="16"/>
          <w:szCs w:val="16"/>
        </w:rPr>
        <w:t xml:space="preserve">fund raising event </w:t>
      </w:r>
      <w:r>
        <w:rPr>
          <w:sz w:val="16"/>
          <w:szCs w:val="16"/>
        </w:rPr>
        <w:t>means an event that raises funds solely for a community or charitable cause and not for personal financial gain.</w:t>
      </w:r>
    </w:p>
    <w:p w14:paraId="5C65D587" w14:textId="77777777" w:rsidR="00CF4050" w:rsidRPr="00596101" w:rsidRDefault="00CF4050" w:rsidP="00CF4050">
      <w:pPr>
        <w:pStyle w:val="FSCtDefn"/>
        <w:ind w:left="851" w:hanging="851"/>
        <w:rPr>
          <w:b/>
          <w:i/>
          <w:sz w:val="16"/>
          <w:szCs w:val="16"/>
        </w:rPr>
      </w:pPr>
      <w:r>
        <w:rPr>
          <w:b/>
          <w:bCs/>
          <w:i/>
          <w:iCs w:val="0"/>
          <w:szCs w:val="20"/>
        </w:rPr>
        <w:tab/>
      </w:r>
      <w:r w:rsidRPr="00596101">
        <w:rPr>
          <w:b/>
          <w:i/>
          <w:sz w:val="16"/>
          <w:szCs w:val="16"/>
        </w:rPr>
        <w:t>jurisdiction</w:t>
      </w:r>
      <w:r w:rsidRPr="00596101">
        <w:rPr>
          <w:sz w:val="16"/>
          <w:szCs w:val="16"/>
        </w:rPr>
        <w:t xml:space="preserve"> means a State or Territory of Australia, the Commonwealth of </w:t>
      </w:r>
      <w:r w:rsidRPr="00596101">
        <w:rPr>
          <w:i/>
          <w:sz w:val="16"/>
          <w:szCs w:val="16"/>
        </w:rPr>
        <w:t>Australia, or New Zealand</w:t>
      </w:r>
      <w:r w:rsidRPr="00596101">
        <w:rPr>
          <w:b/>
          <w:i/>
          <w:sz w:val="16"/>
          <w:szCs w:val="16"/>
        </w:rPr>
        <w:t>.</w:t>
      </w:r>
    </w:p>
    <w:p w14:paraId="49BD8FA8" w14:textId="77777777" w:rsidR="00CF4050" w:rsidRPr="00596101" w:rsidRDefault="00CF4050" w:rsidP="00CF4050">
      <w:pPr>
        <w:pStyle w:val="FSCtDefn"/>
        <w:ind w:left="851" w:hanging="851"/>
        <w:rPr>
          <w:b/>
          <w:i/>
          <w:sz w:val="16"/>
          <w:szCs w:val="16"/>
        </w:rPr>
      </w:pPr>
      <w:r w:rsidRPr="00596101">
        <w:rPr>
          <w:b/>
          <w:i/>
          <w:sz w:val="16"/>
          <w:szCs w:val="16"/>
        </w:rPr>
        <w:tab/>
        <w:t xml:space="preserve">relevant authority </w:t>
      </w:r>
      <w:r w:rsidRPr="00596101">
        <w:rPr>
          <w:sz w:val="16"/>
          <w:szCs w:val="16"/>
        </w:rPr>
        <w:t>means an authority responsible for the enforcement of the relevant application Act.</w:t>
      </w:r>
      <w:r>
        <w:rPr>
          <w:b/>
          <w:i/>
          <w:sz w:val="16"/>
          <w:szCs w:val="16"/>
        </w:rPr>
        <w:tab/>
      </w:r>
    </w:p>
    <w:p w14:paraId="083D044A" w14:textId="77777777" w:rsidR="00CF4050" w:rsidRPr="001D1563" w:rsidRDefault="00CF4050" w:rsidP="00CF4050">
      <w:pPr>
        <w:pStyle w:val="FSCnatHeading"/>
      </w:pPr>
      <w:r>
        <w:rPr>
          <w:b/>
          <w:i/>
        </w:rPr>
        <w:t>Note 2</w:t>
      </w:r>
      <w:r w:rsidRPr="001D1563">
        <w:tab/>
        <w:t xml:space="preserve">In this </w:t>
      </w:r>
      <w:r>
        <w:t>Chapter (see clause 2 of Standard 3.1.1)</w:t>
      </w:r>
      <w:r w:rsidRPr="001D1563">
        <w:t>:</w:t>
      </w:r>
    </w:p>
    <w:p w14:paraId="27DA3FB6" w14:textId="77777777" w:rsidR="00CF4050" w:rsidRDefault="00CF4050" w:rsidP="00CF4050">
      <w:pPr>
        <w:pStyle w:val="FSCnatHeading"/>
        <w:rPr>
          <w:szCs w:val="16"/>
        </w:rPr>
      </w:pPr>
      <w:r>
        <w:rPr>
          <w:b/>
          <w:i/>
          <w:szCs w:val="16"/>
        </w:rPr>
        <w:lastRenderedPageBreak/>
        <w:tab/>
      </w:r>
      <w:r w:rsidRPr="00BF20FC">
        <w:rPr>
          <w:b/>
          <w:i/>
          <w:szCs w:val="16"/>
        </w:rPr>
        <w:t xml:space="preserve">food business </w:t>
      </w:r>
      <w:r w:rsidRPr="00BF20FC">
        <w:rPr>
          <w:szCs w:val="16"/>
        </w:rPr>
        <w:t>means a business, enterprise or activity (other than primary food</w:t>
      </w:r>
      <w:r>
        <w:rPr>
          <w:szCs w:val="16"/>
        </w:rPr>
        <w:t xml:space="preserve"> </w:t>
      </w:r>
      <w:r w:rsidRPr="00BF20FC">
        <w:rPr>
          <w:szCs w:val="16"/>
        </w:rPr>
        <w:t>production) that involves –</w:t>
      </w:r>
    </w:p>
    <w:p w14:paraId="7ACADEC3" w14:textId="77777777" w:rsidR="00CF4050" w:rsidRPr="00C776D6" w:rsidRDefault="00CF4050" w:rsidP="00CF4050">
      <w:pPr>
        <w:pStyle w:val="FSCnatHeading"/>
        <w:rPr>
          <w:szCs w:val="16"/>
        </w:rPr>
      </w:pPr>
      <w:r>
        <w:rPr>
          <w:b/>
          <w:i/>
          <w:szCs w:val="16"/>
        </w:rPr>
        <w:tab/>
      </w:r>
      <w:r w:rsidRPr="00C776D6">
        <w:rPr>
          <w:szCs w:val="16"/>
        </w:rPr>
        <w:t>(a) the handling of food intended for sale; or</w:t>
      </w:r>
    </w:p>
    <w:p w14:paraId="53D0E124" w14:textId="77777777" w:rsidR="00CF4050" w:rsidRPr="00C776D6" w:rsidRDefault="00CF4050" w:rsidP="00CF4050">
      <w:pPr>
        <w:pStyle w:val="FSCnatHeading"/>
        <w:rPr>
          <w:szCs w:val="16"/>
        </w:rPr>
      </w:pPr>
      <w:r w:rsidRPr="00C776D6">
        <w:rPr>
          <w:szCs w:val="16"/>
        </w:rPr>
        <w:tab/>
        <w:t>(b) the sale of food;</w:t>
      </w:r>
    </w:p>
    <w:p w14:paraId="0F59F720" w14:textId="77777777" w:rsidR="00CF4050" w:rsidRPr="00232B77" w:rsidRDefault="00CF4050" w:rsidP="00CF4050">
      <w:pPr>
        <w:pStyle w:val="FSCnatHeading"/>
        <w:rPr>
          <w:b/>
          <w:szCs w:val="16"/>
        </w:rPr>
      </w:pPr>
      <w:r>
        <w:rPr>
          <w:szCs w:val="16"/>
        </w:rPr>
        <w:tab/>
      </w:r>
      <w:r w:rsidRPr="00AB321D">
        <w:rPr>
          <w:szCs w:val="16"/>
        </w:rPr>
        <w:t>regardless of whether the business, enterprise or activity concerned is of a</w:t>
      </w:r>
      <w:r>
        <w:rPr>
          <w:szCs w:val="16"/>
        </w:rPr>
        <w:t xml:space="preserve"> </w:t>
      </w:r>
      <w:r w:rsidRPr="00AB321D">
        <w:rPr>
          <w:szCs w:val="16"/>
        </w:rPr>
        <w:t>commercial, charitable or community nature or whether it involves the handling or</w:t>
      </w:r>
      <w:r>
        <w:rPr>
          <w:szCs w:val="16"/>
        </w:rPr>
        <w:t xml:space="preserve"> </w:t>
      </w:r>
      <w:r w:rsidRPr="00AB321D">
        <w:rPr>
          <w:szCs w:val="16"/>
        </w:rPr>
        <w:t>sale of food on one occasion only.</w:t>
      </w:r>
    </w:p>
    <w:p w14:paraId="096A4053" w14:textId="77777777" w:rsidR="00CF4050" w:rsidRPr="0084345F" w:rsidRDefault="00CF4050" w:rsidP="00CF4050">
      <w:pPr>
        <w:pStyle w:val="FSCnatHeading"/>
        <w:rPr>
          <w:szCs w:val="16"/>
        </w:rPr>
      </w:pPr>
      <w:r>
        <w:rPr>
          <w:b/>
          <w:i/>
          <w:szCs w:val="16"/>
        </w:rPr>
        <w:tab/>
      </w:r>
      <w:r w:rsidRPr="0084345F">
        <w:rPr>
          <w:b/>
          <w:i/>
          <w:szCs w:val="16"/>
        </w:rPr>
        <w:t xml:space="preserve">food premises </w:t>
      </w:r>
      <w:r w:rsidRPr="0084345F">
        <w:rPr>
          <w:szCs w:val="16"/>
        </w:rPr>
        <w:t>means any premises including land, vehicles, parts of structures,</w:t>
      </w:r>
      <w:r>
        <w:rPr>
          <w:szCs w:val="16"/>
        </w:rPr>
        <w:t xml:space="preserve"> </w:t>
      </w:r>
      <w:r w:rsidRPr="0084345F">
        <w:rPr>
          <w:szCs w:val="16"/>
        </w:rPr>
        <w:t>tents, stalls and other temporary structures, boats, pontoons and any other</w:t>
      </w:r>
      <w:r>
        <w:rPr>
          <w:szCs w:val="16"/>
        </w:rPr>
        <w:t xml:space="preserve"> </w:t>
      </w:r>
      <w:r w:rsidRPr="0084345F">
        <w:rPr>
          <w:szCs w:val="16"/>
        </w:rPr>
        <w:t>place declared by the relevant authority to be premises under the Food Act</w:t>
      </w:r>
      <w:r>
        <w:rPr>
          <w:szCs w:val="16"/>
        </w:rPr>
        <w:t xml:space="preserve"> </w:t>
      </w:r>
      <w:r w:rsidRPr="0084345F">
        <w:rPr>
          <w:szCs w:val="16"/>
        </w:rPr>
        <w:t>kept or used for the handling of food for sale, regardless of whether those</w:t>
      </w:r>
      <w:r>
        <w:rPr>
          <w:szCs w:val="16"/>
        </w:rPr>
        <w:t xml:space="preserve"> </w:t>
      </w:r>
      <w:r w:rsidRPr="0084345F">
        <w:rPr>
          <w:szCs w:val="16"/>
        </w:rPr>
        <w:t>premises are owned by the proprietor, including premises used principally</w:t>
      </w:r>
      <w:r>
        <w:rPr>
          <w:szCs w:val="16"/>
        </w:rPr>
        <w:t xml:space="preserve"> </w:t>
      </w:r>
      <w:r w:rsidRPr="0084345F">
        <w:rPr>
          <w:szCs w:val="16"/>
        </w:rPr>
        <w:t>as a private dwelling, but does not mean food vending machines or vehicles</w:t>
      </w:r>
      <w:r>
        <w:rPr>
          <w:szCs w:val="16"/>
        </w:rPr>
        <w:t xml:space="preserve"> </w:t>
      </w:r>
      <w:r w:rsidRPr="0084345F">
        <w:rPr>
          <w:szCs w:val="16"/>
        </w:rPr>
        <w:t>used only to transport food.</w:t>
      </w:r>
    </w:p>
    <w:p w14:paraId="4C325E62" w14:textId="77777777" w:rsidR="00CF4050" w:rsidRPr="00C057E3" w:rsidRDefault="00CF4050" w:rsidP="00CF4050">
      <w:pPr>
        <w:pStyle w:val="FSCnatHeading"/>
      </w:pPr>
      <w:r>
        <w:rPr>
          <w:b/>
          <w:i/>
          <w:szCs w:val="16"/>
        </w:rPr>
        <w:tab/>
      </w:r>
      <w:r>
        <w:rPr>
          <w:b/>
          <w:i/>
        </w:rPr>
        <w:t xml:space="preserve">handling </w:t>
      </w:r>
      <w:r>
        <w:t>of food</w:t>
      </w:r>
      <w:r>
        <w:rPr>
          <w:b/>
          <w:i/>
        </w:rPr>
        <w:t xml:space="preserve"> </w:t>
      </w:r>
      <w:r>
        <w:t>includes the making, manufacturing, producing, collecting, extracting, processing, storing, transporting, delivering, preparing, treating, preserving, packing, cooking, thawing, serving or displaying of food.</w:t>
      </w:r>
    </w:p>
    <w:p w14:paraId="435BB237" w14:textId="77777777" w:rsidR="00CF4050" w:rsidRDefault="00CF4050" w:rsidP="00CF4050">
      <w:pPr>
        <w:pStyle w:val="FSCh5Section"/>
      </w:pPr>
      <w:r>
        <w:t>3.2.2A—3</w:t>
      </w:r>
      <w:r>
        <w:tab/>
        <w:t>Application of this Standard</w:t>
      </w:r>
    </w:p>
    <w:p w14:paraId="2FD0AEF0" w14:textId="77777777" w:rsidR="00CF4050" w:rsidRDefault="00CF4050" w:rsidP="00CF4050">
      <w:pPr>
        <w:pStyle w:val="FSCtMain"/>
      </w:pPr>
      <w:r>
        <w:tab/>
        <w:t>(1)</w:t>
      </w:r>
      <w:r>
        <w:tab/>
      </w:r>
      <w:r w:rsidRPr="00AC449E">
        <w:t xml:space="preserve">This Standard applies to a food business in Australia that is a </w:t>
      </w:r>
      <w:r w:rsidRPr="00AC449E">
        <w:rPr>
          <w:szCs w:val="20"/>
        </w:rPr>
        <w:t>category one business or a category two business</w:t>
      </w:r>
      <w:r w:rsidRPr="00AC449E">
        <w:t>.</w:t>
      </w:r>
    </w:p>
    <w:p w14:paraId="73D4078C" w14:textId="77777777" w:rsidR="00CF4050" w:rsidRDefault="00CF4050" w:rsidP="00CF4050">
      <w:pPr>
        <w:pStyle w:val="FSCtMain"/>
      </w:pPr>
      <w:r>
        <w:tab/>
        <w:t>(2)</w:t>
      </w:r>
      <w:r>
        <w:tab/>
        <w:t>This Standard does not apply to the handling of food for or at a *fund raising event</w:t>
      </w:r>
      <w:r>
        <w:rPr>
          <w:lang w:eastAsia="en-GB"/>
        </w:rPr>
        <w:t>.</w:t>
      </w:r>
    </w:p>
    <w:p w14:paraId="28328850" w14:textId="77777777" w:rsidR="00CF4050" w:rsidRPr="00E71572" w:rsidRDefault="00CF4050" w:rsidP="00CF4050">
      <w:pPr>
        <w:pStyle w:val="FSCh5Section"/>
      </w:pPr>
      <w:r>
        <w:t>3.2.2A—4</w:t>
      </w:r>
      <w:r>
        <w:tab/>
        <w:t>Food service</w:t>
      </w:r>
      <w:r w:rsidRPr="00E71572">
        <w:tab/>
      </w:r>
    </w:p>
    <w:p w14:paraId="35A421AE" w14:textId="77777777" w:rsidR="00CF4050" w:rsidRDefault="00CF4050" w:rsidP="00CF4050">
      <w:pPr>
        <w:pStyle w:val="FSCtMain"/>
      </w:pPr>
      <w:r>
        <w:tab/>
        <w:t>(1)</w:t>
      </w:r>
      <w:r>
        <w:tab/>
        <w:t xml:space="preserve">For the purposes of this Standard, </w:t>
      </w:r>
      <w:r w:rsidRPr="00902CEF">
        <w:rPr>
          <w:b/>
          <w:i/>
        </w:rPr>
        <w:t>food service</w:t>
      </w:r>
      <w:r>
        <w:t xml:space="preserve"> </w:t>
      </w:r>
      <w:r w:rsidRPr="008A2219">
        <w:t>means a food business</w:t>
      </w:r>
      <w:r>
        <w:t xml:space="preserve"> which processes and serves ready-to-eat food direct to a consumer, whether consumed at the food premises or elsewhere.</w:t>
      </w:r>
    </w:p>
    <w:p w14:paraId="74ACE806" w14:textId="77777777" w:rsidR="00CF4050" w:rsidRPr="00317179" w:rsidRDefault="00CF4050" w:rsidP="00CF4050">
      <w:pPr>
        <w:pStyle w:val="FSCtMain"/>
        <w:rPr>
          <w:szCs w:val="20"/>
        </w:rPr>
      </w:pPr>
      <w:r>
        <w:tab/>
        <w:t>(2)</w:t>
      </w:r>
      <w:r>
        <w:tab/>
      </w:r>
      <w:r w:rsidRPr="00317179">
        <w:rPr>
          <w:szCs w:val="20"/>
        </w:rPr>
        <w:t xml:space="preserve">For the purposes of subsection (1), </w:t>
      </w:r>
      <w:r w:rsidRPr="00317179">
        <w:rPr>
          <w:b/>
          <w:i/>
          <w:szCs w:val="20"/>
        </w:rPr>
        <w:t>serve</w:t>
      </w:r>
      <w:r w:rsidRPr="00317179">
        <w:rPr>
          <w:szCs w:val="20"/>
        </w:rPr>
        <w:t xml:space="preserve"> means the act of setting out or presenting food to or for a person to eat that food and includes the following activities:</w:t>
      </w:r>
    </w:p>
    <w:p w14:paraId="284E29E3" w14:textId="77777777" w:rsidR="00CF4050" w:rsidRPr="00317179" w:rsidRDefault="00CF4050" w:rsidP="00CF4050">
      <w:pPr>
        <w:pStyle w:val="FSCtMain"/>
        <w:numPr>
          <w:ilvl w:val="0"/>
          <w:numId w:val="44"/>
        </w:numPr>
        <w:tabs>
          <w:tab w:val="clear" w:pos="1134"/>
          <w:tab w:val="left" w:pos="1701"/>
        </w:tabs>
        <w:ind w:left="2268" w:hanging="567"/>
        <w:rPr>
          <w:szCs w:val="20"/>
        </w:rPr>
      </w:pPr>
      <w:r w:rsidRPr="00317179">
        <w:rPr>
          <w:szCs w:val="20"/>
        </w:rPr>
        <w:t>portioning food from a bulk tray or container into single serves and placing it on plates; or</w:t>
      </w:r>
    </w:p>
    <w:p w14:paraId="59A9BF1B" w14:textId="77777777" w:rsidR="00CF4050" w:rsidRPr="00317179" w:rsidRDefault="00CF4050" w:rsidP="00CF4050">
      <w:pPr>
        <w:pStyle w:val="FSCtMain"/>
        <w:numPr>
          <w:ilvl w:val="0"/>
          <w:numId w:val="44"/>
        </w:numPr>
        <w:tabs>
          <w:tab w:val="clear" w:pos="1134"/>
          <w:tab w:val="left" w:pos="1701"/>
        </w:tabs>
        <w:ind w:left="2268" w:hanging="567"/>
        <w:rPr>
          <w:szCs w:val="20"/>
        </w:rPr>
      </w:pPr>
      <w:r w:rsidRPr="00317179">
        <w:rPr>
          <w:szCs w:val="20"/>
        </w:rPr>
        <w:t>presenting food in a bain-marie or other bulk food display unit for self</w:t>
      </w:r>
      <w:r w:rsidRPr="00317179">
        <w:rPr>
          <w:szCs w:val="20"/>
        </w:rPr>
        <w:noBreakHyphen/>
        <w:t>service; or</w:t>
      </w:r>
    </w:p>
    <w:p w14:paraId="60156040" w14:textId="77777777" w:rsidR="00CF4050" w:rsidRPr="00317179" w:rsidRDefault="00CF4050" w:rsidP="00CF4050">
      <w:pPr>
        <w:pStyle w:val="FSCtMain"/>
        <w:numPr>
          <w:ilvl w:val="0"/>
          <w:numId w:val="44"/>
        </w:numPr>
        <w:tabs>
          <w:tab w:val="clear" w:pos="1134"/>
          <w:tab w:val="left" w:pos="1701"/>
        </w:tabs>
        <w:ind w:left="2268" w:hanging="567"/>
        <w:rPr>
          <w:szCs w:val="20"/>
        </w:rPr>
      </w:pPr>
      <w:r w:rsidRPr="00317179">
        <w:rPr>
          <w:szCs w:val="20"/>
        </w:rPr>
        <w:t>delivery of plated food.</w:t>
      </w:r>
    </w:p>
    <w:p w14:paraId="2F1A513E" w14:textId="77777777" w:rsidR="00CF4050" w:rsidRPr="00E71572" w:rsidRDefault="00CF4050" w:rsidP="00CF4050">
      <w:pPr>
        <w:pStyle w:val="FSCh5Section"/>
      </w:pPr>
      <w:r>
        <w:lastRenderedPageBreak/>
        <w:t>3.2.2A—5</w:t>
      </w:r>
      <w:r>
        <w:tab/>
        <w:t>Prescribed activities</w:t>
      </w:r>
      <w:r w:rsidRPr="00E71572">
        <w:tab/>
      </w:r>
    </w:p>
    <w:p w14:paraId="1FAB70C5" w14:textId="77777777" w:rsidR="00CF4050" w:rsidRPr="00317179" w:rsidRDefault="00CF4050" w:rsidP="00CF4050">
      <w:pPr>
        <w:pStyle w:val="FSCtMain"/>
        <w:rPr>
          <w:szCs w:val="20"/>
        </w:rPr>
      </w:pPr>
      <w:r>
        <w:tab/>
      </w:r>
      <w:r>
        <w:tab/>
      </w:r>
      <w:r w:rsidRPr="00317179">
        <w:rPr>
          <w:szCs w:val="20"/>
        </w:rPr>
        <w:t>For the purposes of this Standard, a prescribed activity is the handling by the food business of any unpackaged potentially hazardous food that:</w:t>
      </w:r>
    </w:p>
    <w:p w14:paraId="0F1206B8" w14:textId="77777777" w:rsidR="00CF4050" w:rsidRPr="00317179" w:rsidRDefault="00CF4050" w:rsidP="00CF4050">
      <w:pPr>
        <w:pStyle w:val="FSCtMain"/>
        <w:numPr>
          <w:ilvl w:val="0"/>
          <w:numId w:val="48"/>
        </w:numPr>
        <w:tabs>
          <w:tab w:val="clear" w:pos="1134"/>
          <w:tab w:val="left" w:pos="1701"/>
        </w:tabs>
        <w:ind w:left="2268" w:hanging="567"/>
        <w:rPr>
          <w:szCs w:val="20"/>
        </w:rPr>
      </w:pPr>
      <w:r w:rsidRPr="00317179">
        <w:rPr>
          <w:szCs w:val="20"/>
        </w:rPr>
        <w:t>is used in the preparation of ready-to-eat food to be served to a consumer; or</w:t>
      </w:r>
    </w:p>
    <w:p w14:paraId="41986975" w14:textId="77777777" w:rsidR="00CF4050" w:rsidRPr="003C10F8" w:rsidRDefault="00CF4050" w:rsidP="00CF4050">
      <w:pPr>
        <w:pStyle w:val="FSCtMain"/>
        <w:numPr>
          <w:ilvl w:val="0"/>
          <w:numId w:val="48"/>
        </w:numPr>
        <w:tabs>
          <w:tab w:val="clear" w:pos="1134"/>
          <w:tab w:val="left" w:pos="1701"/>
        </w:tabs>
        <w:ind w:left="2268" w:hanging="567"/>
        <w:rPr>
          <w:szCs w:val="20"/>
        </w:rPr>
      </w:pPr>
      <w:r w:rsidRPr="00317179">
        <w:rPr>
          <w:szCs w:val="20"/>
        </w:rPr>
        <w:t>is ready-to-eat food intended</w:t>
      </w:r>
      <w:r w:rsidRPr="00317179" w:rsidDel="00FF12B5">
        <w:rPr>
          <w:szCs w:val="20"/>
        </w:rPr>
        <w:t xml:space="preserve"> </w:t>
      </w:r>
      <w:r w:rsidRPr="00317179">
        <w:rPr>
          <w:szCs w:val="20"/>
        </w:rPr>
        <w:t>for retail sale by that business</w:t>
      </w:r>
      <w:r w:rsidRPr="003C10F8">
        <w:rPr>
          <w:szCs w:val="20"/>
        </w:rPr>
        <w:t>.</w:t>
      </w:r>
    </w:p>
    <w:p w14:paraId="0F127237" w14:textId="77777777" w:rsidR="00CF4050" w:rsidRPr="00D37457" w:rsidRDefault="00CF4050" w:rsidP="00CF4050">
      <w:pPr>
        <w:pStyle w:val="FSCh5Section"/>
      </w:pPr>
      <w:r w:rsidRPr="00D37457">
        <w:t>3.2.</w:t>
      </w:r>
      <w:r>
        <w:t>2A—6</w:t>
      </w:r>
      <w:r w:rsidRPr="00D37457">
        <w:tab/>
        <w:t>Category one business</w:t>
      </w:r>
      <w:r w:rsidRPr="00D37457">
        <w:tab/>
      </w:r>
    </w:p>
    <w:p w14:paraId="51B4711C" w14:textId="77777777" w:rsidR="00CF4050" w:rsidRDefault="00CF4050" w:rsidP="00CF4050">
      <w:pPr>
        <w:pStyle w:val="FSCtPara"/>
        <w:tabs>
          <w:tab w:val="left" w:pos="1134"/>
        </w:tabs>
        <w:ind w:left="1701" w:hanging="1701"/>
      </w:pPr>
      <w:r w:rsidRPr="00D37457">
        <w:tab/>
      </w:r>
      <w:r w:rsidRPr="00D37457">
        <w:tab/>
      </w:r>
      <w:r w:rsidRPr="00A338DB">
        <w:t xml:space="preserve">For the purposes of this Standard, </w:t>
      </w:r>
      <w:r w:rsidRPr="00A338DB">
        <w:rPr>
          <w:b/>
          <w:bCs/>
          <w:i/>
          <w:iCs w:val="0"/>
        </w:rPr>
        <w:t>a</w:t>
      </w:r>
      <w:r w:rsidRPr="00A338DB">
        <w:rPr>
          <w:b/>
          <w:bCs/>
        </w:rPr>
        <w:t xml:space="preserve"> </w:t>
      </w:r>
      <w:r w:rsidRPr="00A338DB">
        <w:rPr>
          <w:b/>
          <w:bCs/>
          <w:i/>
          <w:iCs w:val="0"/>
        </w:rPr>
        <w:t>category one business</w:t>
      </w:r>
      <w:r w:rsidRPr="00A338DB">
        <w:t xml:space="preserve"> means </w:t>
      </w:r>
      <w:r>
        <w:t>a</w:t>
      </w:r>
      <w:r w:rsidRPr="00A338DB">
        <w:t xml:space="preserve"> </w:t>
      </w:r>
      <w:r>
        <w:t>food business that:</w:t>
      </w:r>
    </w:p>
    <w:p w14:paraId="126423CE" w14:textId="77777777" w:rsidR="00CF4050" w:rsidRDefault="00CF4050" w:rsidP="00CF4050">
      <w:pPr>
        <w:pStyle w:val="FSCtPara"/>
        <w:numPr>
          <w:ilvl w:val="0"/>
          <w:numId w:val="47"/>
        </w:numPr>
        <w:tabs>
          <w:tab w:val="clear" w:pos="1701"/>
        </w:tabs>
        <w:ind w:left="2268" w:hanging="567"/>
      </w:pPr>
      <w:r>
        <w:t>is a *</w:t>
      </w:r>
      <w:r w:rsidRPr="00A338DB">
        <w:t xml:space="preserve">caterer </w:t>
      </w:r>
      <w:r>
        <w:t>or a food service; and</w:t>
      </w:r>
    </w:p>
    <w:p w14:paraId="26BE4724" w14:textId="77777777" w:rsidR="00CF4050" w:rsidRPr="00A338DB" w:rsidRDefault="00CF4050" w:rsidP="00CF4050">
      <w:pPr>
        <w:pStyle w:val="FSCtPara"/>
        <w:numPr>
          <w:ilvl w:val="0"/>
          <w:numId w:val="47"/>
        </w:numPr>
        <w:tabs>
          <w:tab w:val="clear" w:pos="1701"/>
        </w:tabs>
        <w:ind w:left="2268" w:hanging="567"/>
      </w:pPr>
      <w:r w:rsidRPr="00A338DB">
        <w:t>processes unpackaged potentially hazardous food into a food that is:</w:t>
      </w:r>
    </w:p>
    <w:p w14:paraId="6CBBF77B" w14:textId="01BFB996" w:rsidR="00CF4050" w:rsidRPr="00A338DB" w:rsidRDefault="00CF4050" w:rsidP="00CF4050">
      <w:pPr>
        <w:pStyle w:val="FSCtPara"/>
        <w:tabs>
          <w:tab w:val="clear" w:pos="1701"/>
        </w:tabs>
        <w:ind w:left="2835" w:hanging="567"/>
      </w:pPr>
      <w:r w:rsidRPr="00A338DB">
        <w:rPr>
          <w:lang w:val="en-AU"/>
        </w:rPr>
        <w:t>(</w:t>
      </w:r>
      <w:r>
        <w:rPr>
          <w:lang w:val="en-AU"/>
        </w:rPr>
        <w:t>i</w:t>
      </w:r>
      <w:r w:rsidRPr="00A338DB">
        <w:rPr>
          <w:lang w:val="en-AU"/>
        </w:rPr>
        <w:t>)</w:t>
      </w:r>
      <w:r w:rsidR="00FC252D">
        <w:rPr>
          <w:lang w:val="en-AU"/>
        </w:rPr>
        <w:t xml:space="preserve"> </w:t>
      </w:r>
      <w:r w:rsidRPr="00A338DB">
        <w:rPr>
          <w:lang w:val="en-AU"/>
        </w:rPr>
        <w:tab/>
        <w:t>potentially hazardous food; and</w:t>
      </w:r>
    </w:p>
    <w:p w14:paraId="02122DDC" w14:textId="77777777" w:rsidR="00CF4050" w:rsidRPr="00A338DB" w:rsidRDefault="00CF4050" w:rsidP="00CF4050">
      <w:pPr>
        <w:pStyle w:val="FSCtPara"/>
        <w:tabs>
          <w:tab w:val="clear" w:pos="1701"/>
        </w:tabs>
        <w:ind w:left="2835" w:hanging="573"/>
      </w:pPr>
      <w:r w:rsidRPr="00A338DB">
        <w:t>(</w:t>
      </w:r>
      <w:r>
        <w:t xml:space="preserve">ii) </w:t>
      </w:r>
      <w:r>
        <w:tab/>
        <w:t>ready-to-eat food.</w:t>
      </w:r>
    </w:p>
    <w:p w14:paraId="0E761449" w14:textId="77777777" w:rsidR="00CF4050" w:rsidRPr="00E71572" w:rsidRDefault="00CF4050" w:rsidP="00CF4050">
      <w:pPr>
        <w:pStyle w:val="FSCh5Section"/>
      </w:pPr>
      <w:r>
        <w:t>3.2.2A—7</w:t>
      </w:r>
      <w:r>
        <w:tab/>
        <w:t>Category two business</w:t>
      </w:r>
      <w:r w:rsidRPr="00E71572">
        <w:tab/>
      </w:r>
    </w:p>
    <w:p w14:paraId="62F4F34F" w14:textId="77777777" w:rsidR="00CF4050" w:rsidRPr="00340C78" w:rsidRDefault="00CF4050" w:rsidP="00CF4050">
      <w:pPr>
        <w:pStyle w:val="FSCtPara"/>
        <w:ind w:left="1701" w:hanging="567"/>
        <w:rPr>
          <w:szCs w:val="20"/>
        </w:rPr>
      </w:pPr>
      <w:r>
        <w:rPr>
          <w:szCs w:val="20"/>
        </w:rPr>
        <w:tab/>
      </w:r>
      <w:r w:rsidRPr="006F7013">
        <w:rPr>
          <w:szCs w:val="20"/>
        </w:rPr>
        <w:t xml:space="preserve">For the purposes of this Standard, a </w:t>
      </w:r>
      <w:r w:rsidRPr="006F7013">
        <w:rPr>
          <w:b/>
          <w:i/>
          <w:szCs w:val="20"/>
        </w:rPr>
        <w:t xml:space="preserve">category two </w:t>
      </w:r>
      <w:r>
        <w:rPr>
          <w:b/>
          <w:i/>
          <w:szCs w:val="20"/>
        </w:rPr>
        <w:t>business</w:t>
      </w:r>
      <w:r w:rsidRPr="006F7013">
        <w:rPr>
          <w:szCs w:val="20"/>
        </w:rPr>
        <w:t xml:space="preserve"> means </w:t>
      </w:r>
      <w:r>
        <w:rPr>
          <w:szCs w:val="20"/>
        </w:rPr>
        <w:t xml:space="preserve">a food </w:t>
      </w:r>
      <w:r w:rsidRPr="00340C78">
        <w:rPr>
          <w:szCs w:val="20"/>
        </w:rPr>
        <w:t>business that offers for retail sale a food that is</w:t>
      </w:r>
      <w:r w:rsidRPr="00340C78">
        <w:rPr>
          <w:szCs w:val="20"/>
          <w:lang w:val="en-AU"/>
        </w:rPr>
        <w:t>:</w:t>
      </w:r>
    </w:p>
    <w:p w14:paraId="6A2716C8" w14:textId="77777777" w:rsidR="00CF4050" w:rsidRPr="00340C78" w:rsidRDefault="00CF4050" w:rsidP="00CF4050">
      <w:pPr>
        <w:pStyle w:val="FSCtPara"/>
        <w:numPr>
          <w:ilvl w:val="0"/>
          <w:numId w:val="45"/>
        </w:numPr>
        <w:ind w:left="2268" w:hanging="567"/>
        <w:rPr>
          <w:szCs w:val="20"/>
        </w:rPr>
      </w:pPr>
      <w:r w:rsidRPr="00340C78">
        <w:rPr>
          <w:szCs w:val="20"/>
        </w:rPr>
        <w:t>potentially hazardous food;</w:t>
      </w:r>
      <w:r>
        <w:rPr>
          <w:szCs w:val="20"/>
        </w:rPr>
        <w:t xml:space="preserve"> and</w:t>
      </w:r>
    </w:p>
    <w:p w14:paraId="78A1E4DF" w14:textId="77777777" w:rsidR="00CF4050" w:rsidRPr="00340C78" w:rsidRDefault="00CF4050" w:rsidP="00CF4050">
      <w:pPr>
        <w:pStyle w:val="FSCtPara"/>
        <w:numPr>
          <w:ilvl w:val="0"/>
          <w:numId w:val="45"/>
        </w:numPr>
        <w:ind w:left="2268" w:hanging="567"/>
        <w:rPr>
          <w:szCs w:val="20"/>
        </w:rPr>
      </w:pPr>
      <w:r w:rsidRPr="00340C78">
        <w:rPr>
          <w:szCs w:val="20"/>
        </w:rPr>
        <w:t>ready-to-eat food</w:t>
      </w:r>
      <w:r w:rsidRPr="00340C78">
        <w:rPr>
          <w:szCs w:val="20"/>
          <w:lang w:val="en-AU"/>
        </w:rPr>
        <w:t>; and</w:t>
      </w:r>
    </w:p>
    <w:p w14:paraId="75D646A1" w14:textId="77777777" w:rsidR="00CF4050" w:rsidRPr="00340C78" w:rsidRDefault="00CF4050" w:rsidP="00CF4050">
      <w:pPr>
        <w:pStyle w:val="FSCtPara"/>
        <w:ind w:left="1701"/>
        <w:rPr>
          <w:szCs w:val="20"/>
        </w:rPr>
      </w:pPr>
      <w:r w:rsidRPr="00340C78">
        <w:rPr>
          <w:szCs w:val="20"/>
          <w:lang w:val="en-AU"/>
        </w:rPr>
        <w:tab/>
        <w:t>where that food:</w:t>
      </w:r>
    </w:p>
    <w:p w14:paraId="38608600" w14:textId="77777777" w:rsidR="00CF4050" w:rsidRPr="00BE78D3" w:rsidRDefault="00CF4050" w:rsidP="00CF4050">
      <w:pPr>
        <w:numPr>
          <w:ilvl w:val="0"/>
          <w:numId w:val="46"/>
        </w:numPr>
        <w:spacing w:before="60" w:after="60"/>
        <w:rPr>
          <w:rFonts w:cs="Arial"/>
          <w:iCs/>
          <w:sz w:val="20"/>
          <w:lang w:eastAsia="en-AU"/>
        </w:rPr>
      </w:pPr>
      <w:r>
        <w:rPr>
          <w:rFonts w:cs="Arial"/>
          <w:iCs/>
          <w:sz w:val="20"/>
          <w:lang w:eastAsia="en-AU"/>
        </w:rPr>
        <w:t xml:space="preserve">was received unpackaged by the </w:t>
      </w:r>
      <w:r w:rsidRPr="006F7013">
        <w:rPr>
          <w:rFonts w:cs="Arial"/>
          <w:iCs/>
          <w:sz w:val="20"/>
          <w:lang w:eastAsia="en-AU"/>
        </w:rPr>
        <w:t xml:space="preserve">food business </w:t>
      </w:r>
      <w:r>
        <w:rPr>
          <w:sz w:val="20"/>
        </w:rPr>
        <w:t>or was unpackaged by the food business after receipt</w:t>
      </w:r>
      <w:r w:rsidRPr="00BE78D3">
        <w:rPr>
          <w:sz w:val="20"/>
        </w:rPr>
        <w:t>; and</w:t>
      </w:r>
    </w:p>
    <w:p w14:paraId="6A017D0C" w14:textId="77777777" w:rsidR="00CF4050" w:rsidRPr="00340C78" w:rsidRDefault="00CF4050" w:rsidP="00CF4050">
      <w:pPr>
        <w:numPr>
          <w:ilvl w:val="0"/>
          <w:numId w:val="46"/>
        </w:numPr>
        <w:spacing w:before="60" w:after="60"/>
        <w:rPr>
          <w:rFonts w:cs="Arial"/>
          <w:iCs/>
          <w:sz w:val="20"/>
          <w:lang w:eastAsia="en-AU"/>
        </w:rPr>
      </w:pPr>
      <w:r w:rsidRPr="00340C78">
        <w:rPr>
          <w:rFonts w:cs="Arial"/>
          <w:iCs/>
          <w:sz w:val="20"/>
          <w:lang w:eastAsia="en-AU"/>
        </w:rPr>
        <w:t xml:space="preserve">was not </w:t>
      </w:r>
      <w:r w:rsidRPr="00E76521">
        <w:rPr>
          <w:rFonts w:cs="Arial"/>
          <w:iCs/>
          <w:sz w:val="20"/>
          <w:lang w:eastAsia="en-AU"/>
        </w:rPr>
        <w:t xml:space="preserve">made or processed </w:t>
      </w:r>
      <w:r w:rsidRPr="00340C78">
        <w:rPr>
          <w:rFonts w:cs="Arial"/>
          <w:iCs/>
          <w:sz w:val="20"/>
          <w:lang w:eastAsia="en-AU"/>
        </w:rPr>
        <w:t xml:space="preserve">(other than slicing, weighing, repacking, reheating or hot-holding the food) by </w:t>
      </w:r>
      <w:r>
        <w:rPr>
          <w:rFonts w:cs="Arial"/>
          <w:iCs/>
          <w:sz w:val="20"/>
          <w:lang w:eastAsia="en-AU"/>
        </w:rPr>
        <w:t>the</w:t>
      </w:r>
      <w:r w:rsidRPr="00340C78">
        <w:rPr>
          <w:rFonts w:cs="Arial"/>
          <w:iCs/>
          <w:sz w:val="20"/>
          <w:lang w:eastAsia="en-AU"/>
        </w:rPr>
        <w:t xml:space="preserve"> food business</w:t>
      </w:r>
      <w:r>
        <w:rPr>
          <w:sz w:val="20"/>
        </w:rPr>
        <w:t>.</w:t>
      </w:r>
    </w:p>
    <w:p w14:paraId="56272766" w14:textId="77777777" w:rsidR="00CF4050" w:rsidRDefault="00CF4050" w:rsidP="00CF4050">
      <w:pPr>
        <w:pStyle w:val="FSCh5Section"/>
      </w:pPr>
      <w:r>
        <w:t>3.2.2A—8</w:t>
      </w:r>
      <w:r>
        <w:tab/>
        <w:t>Food safety management tools required for category one businesses</w:t>
      </w:r>
    </w:p>
    <w:p w14:paraId="371F5F6E" w14:textId="77777777" w:rsidR="00CF4050" w:rsidRDefault="00CF4050" w:rsidP="00CF4050">
      <w:pPr>
        <w:pStyle w:val="FSCtMain"/>
      </w:pPr>
      <w:r>
        <w:t xml:space="preserve"> </w:t>
      </w:r>
      <w:r>
        <w:tab/>
      </w:r>
      <w:r>
        <w:tab/>
        <w:t>A category one business must comply with sections 3.2.2A—10, 3.2.2A—11 and 3.2.2A—12.</w:t>
      </w:r>
    </w:p>
    <w:p w14:paraId="499CBD9A" w14:textId="77777777" w:rsidR="00CF4050" w:rsidRDefault="00CF4050" w:rsidP="00CF4050">
      <w:pPr>
        <w:pStyle w:val="FSCh5Section"/>
      </w:pPr>
      <w:r>
        <w:lastRenderedPageBreak/>
        <w:t>3.2.2A—9</w:t>
      </w:r>
      <w:r>
        <w:tab/>
        <w:t>Food safety management tools required for category two businesses</w:t>
      </w:r>
    </w:p>
    <w:p w14:paraId="1D229118" w14:textId="77777777" w:rsidR="00CF4050" w:rsidRDefault="00CF4050" w:rsidP="00CF4050">
      <w:pPr>
        <w:pStyle w:val="FSCtMain"/>
        <w:ind w:firstLine="0"/>
      </w:pPr>
      <w:r>
        <w:t>A category two business must comply with sections 3.2.2A—10 and 3.2.2A—11.</w:t>
      </w:r>
    </w:p>
    <w:p w14:paraId="5224F885" w14:textId="77777777" w:rsidR="00CF4050" w:rsidRPr="00E71572" w:rsidRDefault="00CF4050" w:rsidP="00CF4050">
      <w:pPr>
        <w:pStyle w:val="FSCh5Section"/>
      </w:pPr>
      <w:r>
        <w:t>3.2.2A—10</w:t>
      </w:r>
      <w:r>
        <w:tab/>
        <w:t>Food safety training for food handlers engaged in a prescribed activity</w:t>
      </w:r>
    </w:p>
    <w:p w14:paraId="6F5EE5FF" w14:textId="77777777" w:rsidR="00CF4050" w:rsidRDefault="00CF4050" w:rsidP="00CF4050">
      <w:pPr>
        <w:pStyle w:val="FSCtMain"/>
        <w:ind w:firstLine="0"/>
      </w:pPr>
      <w:r>
        <w:t xml:space="preserve">The food business must ensure that each food handler who engages in a prescribed activity has, before engaging in that activity: </w:t>
      </w:r>
    </w:p>
    <w:p w14:paraId="26AA661E" w14:textId="77777777" w:rsidR="00CF4050" w:rsidRDefault="00CF4050" w:rsidP="00CF4050">
      <w:pPr>
        <w:pStyle w:val="FSCtPara"/>
      </w:pPr>
      <w:r>
        <w:tab/>
        <w:t>(a)</w:t>
      </w:r>
      <w:r>
        <w:tab/>
        <w:t>completed a food safety training course; or</w:t>
      </w:r>
    </w:p>
    <w:p w14:paraId="721C57C0" w14:textId="77777777" w:rsidR="00CF4050" w:rsidRDefault="00CF4050" w:rsidP="00CF4050">
      <w:pPr>
        <w:pStyle w:val="FSCtPara"/>
      </w:pPr>
      <w:r>
        <w:tab/>
        <w:t>(b)</w:t>
      </w:r>
      <w:r>
        <w:tab/>
        <w:t>skills and knowledge of food safety and hygiene matters commensurate with that specific prescribed activity.</w:t>
      </w:r>
    </w:p>
    <w:p w14:paraId="445F4C32" w14:textId="77777777" w:rsidR="00CF4050" w:rsidRDefault="00CF4050" w:rsidP="00CF4050">
      <w:pPr>
        <w:pStyle w:val="FSCh5Section"/>
      </w:pPr>
      <w:r>
        <w:t>3.2.2A—11</w:t>
      </w:r>
      <w:r>
        <w:tab/>
        <w:t>Supervision of food handlers</w:t>
      </w:r>
    </w:p>
    <w:p w14:paraId="16FB064A" w14:textId="77777777" w:rsidR="00CF4050" w:rsidRDefault="00CF4050" w:rsidP="00CF4050">
      <w:pPr>
        <w:pStyle w:val="FSCtMain"/>
      </w:pPr>
      <w:r w:rsidRPr="00E71572">
        <w:tab/>
      </w:r>
      <w:r>
        <w:tab/>
        <w:t>The food business must:</w:t>
      </w:r>
    </w:p>
    <w:p w14:paraId="372CFC7B" w14:textId="77777777" w:rsidR="00CF4050" w:rsidRDefault="00CF4050" w:rsidP="00CF4050">
      <w:pPr>
        <w:pStyle w:val="FSCtPara"/>
        <w:numPr>
          <w:ilvl w:val="0"/>
          <w:numId w:val="38"/>
        </w:numPr>
      </w:pPr>
      <w:r>
        <w:t>appoint a food safety supervisor before engaging in a prescribed activity; and</w:t>
      </w:r>
    </w:p>
    <w:p w14:paraId="53DECBFB" w14:textId="0DCB2F7C" w:rsidR="00CF4050" w:rsidRDefault="00CF4050" w:rsidP="00CF4050">
      <w:pPr>
        <w:pStyle w:val="FSCtPara"/>
        <w:numPr>
          <w:ilvl w:val="0"/>
          <w:numId w:val="38"/>
        </w:numPr>
      </w:pPr>
      <w:r>
        <w:t>ensure that the food safety supervisor is reasonably available to advise and supervise each food handler engaged in that prescribed activity.</w:t>
      </w:r>
      <w:r w:rsidR="008848B0">
        <w:t xml:space="preserve">  </w:t>
      </w:r>
    </w:p>
    <w:p w14:paraId="25443919" w14:textId="77777777" w:rsidR="00CF4050" w:rsidRDefault="00CF4050" w:rsidP="00CF4050">
      <w:pPr>
        <w:pStyle w:val="FSCh5Section"/>
      </w:pPr>
      <w:r>
        <w:t>3.2.2A—12</w:t>
      </w:r>
      <w:r>
        <w:tab/>
        <w:t>Substantiating food safety management of prescribed activities</w:t>
      </w:r>
    </w:p>
    <w:p w14:paraId="454F308D" w14:textId="77777777" w:rsidR="00CF4050" w:rsidRDefault="00CF4050" w:rsidP="00CF4050">
      <w:pPr>
        <w:pStyle w:val="FSCtMain"/>
      </w:pPr>
      <w:r>
        <w:tab/>
        <w:t>(1)</w:t>
      </w:r>
      <w:r>
        <w:tab/>
        <w:t>Subject to section 3, if the food business engages in a prescribed activity, the food business must make a record that substantiates any matter that the prescribed provisions require in relation to that prescribed activity.</w:t>
      </w:r>
    </w:p>
    <w:p w14:paraId="0A065B1B" w14:textId="77777777" w:rsidR="00CF4050" w:rsidRDefault="00CF4050" w:rsidP="00CF4050">
      <w:pPr>
        <w:pStyle w:val="FSCtPara"/>
        <w:tabs>
          <w:tab w:val="clear" w:pos="1701"/>
          <w:tab w:val="left" w:pos="1134"/>
        </w:tabs>
        <w:ind w:left="1701" w:hanging="1701"/>
      </w:pPr>
      <w:r>
        <w:tab/>
        <w:t>(2)</w:t>
      </w:r>
      <w:r>
        <w:tab/>
        <w:t>The food business must keep a record required by subsection (1) for 3 months after the business makes the record.</w:t>
      </w:r>
    </w:p>
    <w:p w14:paraId="30E1D208" w14:textId="77777777" w:rsidR="00CF4050" w:rsidRDefault="00CF4050" w:rsidP="00CF4050">
      <w:pPr>
        <w:pStyle w:val="FSCtPara"/>
        <w:tabs>
          <w:tab w:val="clear" w:pos="1701"/>
          <w:tab w:val="left" w:pos="1134"/>
        </w:tabs>
        <w:ind w:left="1701" w:hanging="1701"/>
      </w:pPr>
      <w:r>
        <w:tab/>
        <w:t>(3)</w:t>
      </w:r>
      <w:r>
        <w:tab/>
        <w:t xml:space="preserve">Subsection (1) does not apply to a food business that </w:t>
      </w:r>
      <w:r>
        <w:rPr>
          <w:szCs w:val="20"/>
        </w:rPr>
        <w:t xml:space="preserve">can demonstrate to the reasonable satisfaction of an *authorised officer on request that the business has complied with </w:t>
      </w:r>
      <w:r>
        <w:t>each of the prescribed provisions.</w:t>
      </w:r>
    </w:p>
    <w:p w14:paraId="624351B9" w14:textId="77777777" w:rsidR="00CF4050" w:rsidRDefault="00CF4050" w:rsidP="00CF4050">
      <w:pPr>
        <w:pStyle w:val="FSCtPara"/>
        <w:tabs>
          <w:tab w:val="clear" w:pos="1701"/>
          <w:tab w:val="left" w:pos="1134"/>
        </w:tabs>
        <w:ind w:left="1701" w:hanging="1701"/>
      </w:pPr>
      <w:r>
        <w:tab/>
        <w:t>(4)</w:t>
      </w:r>
      <w:r>
        <w:tab/>
        <w:t>For the purposes of this section, the prescribed provisions are the following provisions of Standard 3.2.2:</w:t>
      </w:r>
    </w:p>
    <w:p w14:paraId="4BA317B9" w14:textId="77777777" w:rsidR="00CF4050" w:rsidRDefault="00CF4050" w:rsidP="00CF4050">
      <w:pPr>
        <w:pStyle w:val="FSCtPara"/>
        <w:numPr>
          <w:ilvl w:val="0"/>
          <w:numId w:val="37"/>
        </w:numPr>
      </w:pPr>
      <w:r>
        <w:t xml:space="preserve">subclause 5(3); </w:t>
      </w:r>
    </w:p>
    <w:p w14:paraId="4AD1F52A" w14:textId="77777777" w:rsidR="00CF4050" w:rsidRDefault="00CF4050" w:rsidP="00CF4050">
      <w:pPr>
        <w:pStyle w:val="FSCtPara"/>
        <w:numPr>
          <w:ilvl w:val="0"/>
          <w:numId w:val="37"/>
        </w:numPr>
      </w:pPr>
      <w:r>
        <w:lastRenderedPageBreak/>
        <w:t>paragraph 6(2)(a);</w:t>
      </w:r>
    </w:p>
    <w:p w14:paraId="73B727BE" w14:textId="77777777" w:rsidR="00CF4050" w:rsidRDefault="00CF4050" w:rsidP="00CF4050">
      <w:pPr>
        <w:pStyle w:val="FSCtPara"/>
        <w:numPr>
          <w:ilvl w:val="0"/>
          <w:numId w:val="37"/>
        </w:numPr>
      </w:pPr>
      <w:r>
        <w:t>paragraph 7(1)(b)(ii);</w:t>
      </w:r>
    </w:p>
    <w:p w14:paraId="547C9BE8" w14:textId="77777777" w:rsidR="00CF4050" w:rsidRDefault="00CF4050" w:rsidP="00CF4050">
      <w:pPr>
        <w:pStyle w:val="FSCtPara"/>
        <w:numPr>
          <w:ilvl w:val="0"/>
          <w:numId w:val="37"/>
        </w:numPr>
      </w:pPr>
      <w:r>
        <w:t>subclause 7(2);</w:t>
      </w:r>
    </w:p>
    <w:p w14:paraId="4B760519" w14:textId="77777777" w:rsidR="00CF4050" w:rsidRDefault="00CF4050" w:rsidP="00CF4050">
      <w:pPr>
        <w:pStyle w:val="FSCtPara"/>
        <w:numPr>
          <w:ilvl w:val="0"/>
          <w:numId w:val="37"/>
        </w:numPr>
      </w:pPr>
      <w:r>
        <w:t>subclause 7(3);</w:t>
      </w:r>
    </w:p>
    <w:p w14:paraId="09AE668E" w14:textId="77777777" w:rsidR="00CF4050" w:rsidRDefault="00CF4050" w:rsidP="00CF4050">
      <w:pPr>
        <w:pStyle w:val="FSCtPara"/>
        <w:numPr>
          <w:ilvl w:val="0"/>
          <w:numId w:val="37"/>
        </w:numPr>
      </w:pPr>
      <w:r>
        <w:t>subclause 7(4);</w:t>
      </w:r>
    </w:p>
    <w:p w14:paraId="02A0FA3B" w14:textId="77777777" w:rsidR="00CF4050" w:rsidRDefault="00CF4050" w:rsidP="00CF4050">
      <w:pPr>
        <w:pStyle w:val="FSCtPara"/>
        <w:numPr>
          <w:ilvl w:val="0"/>
          <w:numId w:val="37"/>
        </w:numPr>
      </w:pPr>
      <w:r>
        <w:t>paragraph 8(5)(a);</w:t>
      </w:r>
    </w:p>
    <w:p w14:paraId="74AC5617" w14:textId="77777777" w:rsidR="00CF4050" w:rsidRDefault="00CF4050" w:rsidP="00CF4050">
      <w:pPr>
        <w:pStyle w:val="FSCtPara"/>
        <w:numPr>
          <w:ilvl w:val="0"/>
          <w:numId w:val="37"/>
        </w:numPr>
      </w:pPr>
      <w:r>
        <w:t>paragraph 10(b); and</w:t>
      </w:r>
    </w:p>
    <w:p w14:paraId="126F9417" w14:textId="77777777" w:rsidR="00CF4050" w:rsidRDefault="00CF4050" w:rsidP="00CF4050">
      <w:pPr>
        <w:pStyle w:val="FSCtPara"/>
        <w:numPr>
          <w:ilvl w:val="0"/>
          <w:numId w:val="37"/>
        </w:numPr>
      </w:pPr>
      <w:r>
        <w:t>clause 20.</w:t>
      </w: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70219469" w14:textId="77777777" w:rsidR="007E7B67" w:rsidRDefault="007E7B67" w:rsidP="007E7B67">
      <w:pPr>
        <w:rPr>
          <w:noProof/>
          <w:sz w:val="20"/>
          <w:lang w:val="en-AU" w:eastAsia="en-AU"/>
        </w:rPr>
      </w:pPr>
    </w:p>
    <w:p w14:paraId="1F58A3A8" w14:textId="75EBBF94" w:rsidR="007E7B67" w:rsidRPr="00C0014E" w:rsidRDefault="007E7B67" w:rsidP="007E7B67">
      <w:pPr>
        <w:rPr>
          <w:noProof/>
          <w:sz w:val="20"/>
          <w:lang w:val="en-AU" w:eastAsia="en-AU"/>
        </w:rPr>
      </w:pPr>
      <w:r w:rsidRPr="00C0014E">
        <w:rPr>
          <w:noProof/>
          <w:sz w:val="20"/>
          <w:lang w:eastAsia="en-GB" w:bidi="ar-SA"/>
        </w:rPr>
        <w:drawing>
          <wp:inline distT="0" distB="0" distL="0" distR="0" wp14:anchorId="5C052574" wp14:editId="4C7AA782">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68B2EF6" w14:textId="77777777" w:rsidR="007E7B67" w:rsidRPr="008F1620" w:rsidRDefault="007E7B67" w:rsidP="007E7B67">
      <w:pPr>
        <w:rPr>
          <w:sz w:val="20"/>
        </w:rPr>
      </w:pPr>
    </w:p>
    <w:p w14:paraId="44955F6B" w14:textId="77777777" w:rsidR="007E7B67" w:rsidRPr="002A7834" w:rsidRDefault="007E7B67" w:rsidP="007E7B67">
      <w:pPr>
        <w:pBdr>
          <w:bottom w:val="single" w:sz="4" w:space="1" w:color="auto"/>
        </w:pBdr>
        <w:rPr>
          <w:b/>
          <w:sz w:val="20"/>
        </w:rPr>
      </w:pPr>
      <w:r w:rsidRPr="002A7834">
        <w:rPr>
          <w:b/>
          <w:sz w:val="20"/>
        </w:rPr>
        <w:t xml:space="preserve">Food Standards </w:t>
      </w:r>
      <w:r>
        <w:rPr>
          <w:b/>
          <w:sz w:val="20"/>
        </w:rPr>
        <w:t>(</w:t>
      </w:r>
      <w:r w:rsidRPr="002A7834">
        <w:rPr>
          <w:b/>
          <w:sz w:val="20"/>
        </w:rPr>
        <w:t xml:space="preserve">Proposal </w:t>
      </w:r>
      <w:r>
        <w:rPr>
          <w:b/>
          <w:sz w:val="20"/>
        </w:rPr>
        <w:t>P1053</w:t>
      </w:r>
      <w:r w:rsidRPr="002A7834">
        <w:rPr>
          <w:b/>
          <w:sz w:val="20"/>
        </w:rPr>
        <w:t xml:space="preserve"> – </w:t>
      </w:r>
      <w:r>
        <w:rPr>
          <w:b/>
          <w:sz w:val="20"/>
        </w:rPr>
        <w:t>Food Safety Management Tools – Consequential</w:t>
      </w:r>
      <w:r w:rsidRPr="00ED60A7">
        <w:rPr>
          <w:b/>
          <w:sz w:val="20"/>
        </w:rPr>
        <w:t xml:space="preserve"> Amendments</w:t>
      </w:r>
      <w:r w:rsidRPr="002A7834">
        <w:rPr>
          <w:b/>
          <w:sz w:val="20"/>
        </w:rPr>
        <w:t>) Variation</w:t>
      </w:r>
    </w:p>
    <w:p w14:paraId="317A73B9" w14:textId="77777777" w:rsidR="007E7B67" w:rsidRPr="00C0014E" w:rsidRDefault="007E7B67" w:rsidP="007E7B67">
      <w:pPr>
        <w:pBdr>
          <w:bottom w:val="single" w:sz="4" w:space="1" w:color="auto"/>
        </w:pBdr>
        <w:rPr>
          <w:b/>
          <w:sz w:val="20"/>
        </w:rPr>
      </w:pPr>
    </w:p>
    <w:p w14:paraId="41B6509B" w14:textId="77777777" w:rsidR="007E7B67" w:rsidRPr="008F2616" w:rsidRDefault="007E7B67" w:rsidP="007E7B67">
      <w:pPr>
        <w:rPr>
          <w:sz w:val="20"/>
        </w:rPr>
      </w:pPr>
    </w:p>
    <w:p w14:paraId="0A3F2054" w14:textId="77777777" w:rsidR="007E7B67" w:rsidRPr="0053287E" w:rsidRDefault="007E7B67" w:rsidP="007E7B67">
      <w:pPr>
        <w:rPr>
          <w:sz w:val="20"/>
        </w:rPr>
      </w:pPr>
      <w:r w:rsidRPr="0053287E">
        <w:rPr>
          <w:sz w:val="20"/>
        </w:rPr>
        <w:t xml:space="preserve">The Board of Food Standards Australia New Zealand gives notice of the making of this </w:t>
      </w:r>
      <w:r>
        <w:rPr>
          <w:sz w:val="20"/>
        </w:rPr>
        <w:t>variation</w:t>
      </w:r>
      <w:r w:rsidRPr="0053287E">
        <w:rPr>
          <w:sz w:val="20"/>
        </w:rPr>
        <w:t xml:space="preserve"> under section 92 of the </w:t>
      </w:r>
      <w:r w:rsidRPr="0053287E">
        <w:rPr>
          <w:i/>
          <w:sz w:val="20"/>
        </w:rPr>
        <w:t>Food Standards Australia New Zealand Act 1991</w:t>
      </w:r>
      <w:r w:rsidRPr="0053287E">
        <w:rPr>
          <w:sz w:val="20"/>
        </w:rPr>
        <w:t xml:space="preserve">. </w:t>
      </w:r>
      <w:r w:rsidRPr="00ED60A7">
        <w:rPr>
          <w:sz w:val="20"/>
        </w:rPr>
        <w:t xml:space="preserve">The </w:t>
      </w:r>
      <w:r>
        <w:rPr>
          <w:sz w:val="20"/>
        </w:rPr>
        <w:t>variation</w:t>
      </w:r>
      <w:r w:rsidRPr="00ED60A7">
        <w:rPr>
          <w:sz w:val="20"/>
        </w:rPr>
        <w:t xml:space="preserve"> commences on the date specified in clause 3 of this variation</w:t>
      </w:r>
      <w:r w:rsidRPr="00E76359">
        <w:rPr>
          <w:sz w:val="20"/>
        </w:rPr>
        <w:t>.</w:t>
      </w:r>
    </w:p>
    <w:p w14:paraId="32C7FE13" w14:textId="77777777" w:rsidR="007E7B67" w:rsidRPr="008F2616" w:rsidRDefault="007E7B67" w:rsidP="007E7B67">
      <w:pPr>
        <w:rPr>
          <w:sz w:val="20"/>
        </w:rPr>
      </w:pPr>
    </w:p>
    <w:p w14:paraId="3D6AE449" w14:textId="77777777" w:rsidR="007E7B67" w:rsidRDefault="007E7B67" w:rsidP="007E7B67">
      <w:pPr>
        <w:rPr>
          <w:sz w:val="20"/>
        </w:rPr>
      </w:pPr>
      <w:r>
        <w:rPr>
          <w:sz w:val="20"/>
        </w:rPr>
        <w:t>Dated [To be completed by the Delegate]</w:t>
      </w:r>
    </w:p>
    <w:p w14:paraId="48C4A600" w14:textId="77777777" w:rsidR="007E7B67" w:rsidRDefault="007E7B67" w:rsidP="007E7B67">
      <w:pPr>
        <w:rPr>
          <w:sz w:val="20"/>
        </w:rPr>
      </w:pPr>
    </w:p>
    <w:p w14:paraId="3B2133E7" w14:textId="77777777" w:rsidR="007E7B67" w:rsidRDefault="007E7B67" w:rsidP="007E7B67">
      <w:pPr>
        <w:rPr>
          <w:sz w:val="20"/>
        </w:rPr>
      </w:pPr>
    </w:p>
    <w:p w14:paraId="03D0FFF6" w14:textId="77777777" w:rsidR="007E7B67" w:rsidRDefault="007E7B67" w:rsidP="007E7B67">
      <w:pPr>
        <w:rPr>
          <w:sz w:val="20"/>
        </w:rPr>
      </w:pPr>
      <w:r>
        <w:rPr>
          <w:sz w:val="20"/>
        </w:rPr>
        <w:t>[Name of Delegate]</w:t>
      </w:r>
    </w:p>
    <w:p w14:paraId="03F82815" w14:textId="77777777" w:rsidR="007E7B67" w:rsidRDefault="007E7B67" w:rsidP="007E7B67">
      <w:pPr>
        <w:rPr>
          <w:sz w:val="20"/>
        </w:rPr>
      </w:pPr>
      <w:r>
        <w:rPr>
          <w:sz w:val="20"/>
        </w:rPr>
        <w:t>Delegate of the Board of Food Standards Australia New Zealand</w:t>
      </w:r>
    </w:p>
    <w:p w14:paraId="62266B71" w14:textId="77777777" w:rsidR="007E7B67" w:rsidRDefault="007E7B67" w:rsidP="007E7B67">
      <w:pPr>
        <w:rPr>
          <w:sz w:val="20"/>
        </w:rPr>
      </w:pPr>
    </w:p>
    <w:p w14:paraId="76F4C8A1" w14:textId="77777777" w:rsidR="007E7B67" w:rsidRDefault="007E7B67" w:rsidP="007E7B67">
      <w:pPr>
        <w:rPr>
          <w:sz w:val="20"/>
        </w:rPr>
      </w:pPr>
    </w:p>
    <w:p w14:paraId="27C1CEFD" w14:textId="77777777" w:rsidR="007E7B67" w:rsidRDefault="007E7B67" w:rsidP="007E7B67">
      <w:pPr>
        <w:rPr>
          <w:sz w:val="20"/>
        </w:rPr>
      </w:pPr>
    </w:p>
    <w:p w14:paraId="512E752F" w14:textId="77777777" w:rsidR="007E7B67" w:rsidRDefault="007E7B67" w:rsidP="007E7B67">
      <w:pPr>
        <w:rPr>
          <w:sz w:val="20"/>
        </w:rPr>
      </w:pPr>
    </w:p>
    <w:p w14:paraId="7E526B88" w14:textId="77777777" w:rsidR="007E7B67" w:rsidRDefault="007E7B67" w:rsidP="007E7B67">
      <w:pPr>
        <w:rPr>
          <w:sz w:val="20"/>
        </w:rPr>
      </w:pPr>
    </w:p>
    <w:p w14:paraId="3AF429FB" w14:textId="2ED03553" w:rsidR="007E7B67" w:rsidRDefault="007E7B67" w:rsidP="007E7B67">
      <w:pPr>
        <w:pBdr>
          <w:top w:val="single" w:sz="4" w:space="1" w:color="auto"/>
          <w:left w:val="single" w:sz="4" w:space="4" w:color="auto"/>
          <w:bottom w:val="single" w:sz="4" w:space="1" w:color="auto"/>
          <w:right w:val="single" w:sz="4" w:space="4" w:color="auto"/>
        </w:pBdr>
        <w:rPr>
          <w:b/>
          <w:sz w:val="20"/>
          <w:lang w:val="en-AU"/>
        </w:rPr>
      </w:pPr>
      <w:r>
        <w:rPr>
          <w:b/>
          <w:sz w:val="20"/>
          <w:lang w:val="en-AU"/>
        </w:rPr>
        <w:t>Note:</w:t>
      </w:r>
      <w:r w:rsidR="00FC252D">
        <w:rPr>
          <w:b/>
          <w:sz w:val="20"/>
          <w:lang w:val="en-AU"/>
        </w:rPr>
        <w:t xml:space="preserve"> </w:t>
      </w:r>
    </w:p>
    <w:p w14:paraId="43FB597A" w14:textId="77777777" w:rsidR="007E7B67" w:rsidRDefault="007E7B67" w:rsidP="007E7B67">
      <w:pPr>
        <w:pBdr>
          <w:top w:val="single" w:sz="4" w:space="1" w:color="auto"/>
          <w:left w:val="single" w:sz="4" w:space="4" w:color="auto"/>
          <w:bottom w:val="single" w:sz="4" w:space="1" w:color="auto"/>
          <w:right w:val="single" w:sz="4" w:space="4" w:color="auto"/>
        </w:pBdr>
        <w:rPr>
          <w:sz w:val="20"/>
          <w:lang w:val="en-AU"/>
        </w:rPr>
      </w:pPr>
    </w:p>
    <w:p w14:paraId="1CA46840" w14:textId="77777777" w:rsidR="007E7B67" w:rsidRDefault="007E7B67" w:rsidP="007E7B67">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Standard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the above notice. </w:t>
      </w:r>
    </w:p>
    <w:p w14:paraId="6A402B4D" w14:textId="77777777" w:rsidR="007E7B67" w:rsidRDefault="007E7B67" w:rsidP="007E7B67">
      <w:pPr>
        <w:rPr>
          <w:sz w:val="20"/>
        </w:rPr>
      </w:pPr>
    </w:p>
    <w:p w14:paraId="3ACA10D3" w14:textId="77777777" w:rsidR="007E7B67" w:rsidRDefault="007E7B67" w:rsidP="007E7B67">
      <w:pPr>
        <w:widowControl/>
        <w:rPr>
          <w:sz w:val="20"/>
        </w:rPr>
      </w:pPr>
      <w:r>
        <w:rPr>
          <w:sz w:val="20"/>
        </w:rPr>
        <w:br w:type="page"/>
      </w:r>
    </w:p>
    <w:p w14:paraId="74F43F0C" w14:textId="77777777" w:rsidR="007E7B67" w:rsidRPr="00E61391" w:rsidRDefault="007E7B67" w:rsidP="007E7B67">
      <w:pPr>
        <w:rPr>
          <w:b/>
          <w:sz w:val="20"/>
        </w:rPr>
      </w:pPr>
      <w:r w:rsidRPr="00E61391">
        <w:rPr>
          <w:b/>
          <w:sz w:val="20"/>
        </w:rPr>
        <w:lastRenderedPageBreak/>
        <w:t>1</w:t>
      </w:r>
      <w:r w:rsidRPr="00E61391">
        <w:rPr>
          <w:b/>
          <w:sz w:val="20"/>
        </w:rPr>
        <w:tab/>
        <w:t>Name</w:t>
      </w:r>
    </w:p>
    <w:p w14:paraId="5923ABBD" w14:textId="77777777" w:rsidR="007E7B67" w:rsidRPr="00E61391" w:rsidRDefault="007E7B67" w:rsidP="007E7B67">
      <w:pPr>
        <w:rPr>
          <w:sz w:val="20"/>
        </w:rPr>
      </w:pPr>
    </w:p>
    <w:p w14:paraId="48805F94" w14:textId="77777777" w:rsidR="007E7B67" w:rsidRPr="00E61391" w:rsidRDefault="007E7B67" w:rsidP="007E7B67">
      <w:pPr>
        <w:rPr>
          <w:sz w:val="20"/>
        </w:rPr>
      </w:pPr>
      <w:r w:rsidRPr="00E61391">
        <w:rPr>
          <w:sz w:val="20"/>
        </w:rPr>
        <w:t xml:space="preserve">This instrument is the </w:t>
      </w:r>
      <w:r w:rsidRPr="00E61391">
        <w:rPr>
          <w:i/>
          <w:sz w:val="20"/>
        </w:rPr>
        <w:t>Food Standards (Proposal P1053 – Food Safety Management Tools – Consequential Amendments) Variation</w:t>
      </w:r>
      <w:r w:rsidRPr="00E61391">
        <w:rPr>
          <w:sz w:val="20"/>
        </w:rPr>
        <w:t>.</w:t>
      </w:r>
    </w:p>
    <w:p w14:paraId="7FDF9C82" w14:textId="77777777" w:rsidR="007E7B67" w:rsidRPr="00E61391" w:rsidRDefault="007E7B67" w:rsidP="007E7B67">
      <w:pPr>
        <w:rPr>
          <w:sz w:val="20"/>
        </w:rPr>
      </w:pPr>
    </w:p>
    <w:p w14:paraId="40842F12" w14:textId="77777777" w:rsidR="007E7B67" w:rsidRPr="00E61391" w:rsidRDefault="007E7B67" w:rsidP="007E7B67">
      <w:pPr>
        <w:rPr>
          <w:b/>
          <w:sz w:val="20"/>
        </w:rPr>
      </w:pPr>
      <w:r w:rsidRPr="00E61391">
        <w:rPr>
          <w:b/>
          <w:sz w:val="20"/>
        </w:rPr>
        <w:t>2</w:t>
      </w:r>
      <w:r w:rsidRPr="00E61391">
        <w:rPr>
          <w:b/>
          <w:sz w:val="20"/>
        </w:rPr>
        <w:tab/>
        <w:t xml:space="preserve">Variation to Standards in the </w:t>
      </w:r>
      <w:r w:rsidRPr="00E61391">
        <w:rPr>
          <w:b/>
          <w:i/>
          <w:sz w:val="20"/>
        </w:rPr>
        <w:t>Australia New Zealand Food Standards Code</w:t>
      </w:r>
    </w:p>
    <w:p w14:paraId="2A0EAB85" w14:textId="77777777" w:rsidR="007E7B67" w:rsidRPr="00E61391" w:rsidRDefault="007E7B67" w:rsidP="007E7B67">
      <w:pPr>
        <w:rPr>
          <w:sz w:val="20"/>
        </w:rPr>
      </w:pPr>
    </w:p>
    <w:p w14:paraId="0FD6C8F6" w14:textId="77777777" w:rsidR="007E7B67" w:rsidRPr="00E61391" w:rsidRDefault="007E7B67" w:rsidP="007E7B67">
      <w:pPr>
        <w:rPr>
          <w:sz w:val="20"/>
        </w:rPr>
      </w:pPr>
      <w:r w:rsidRPr="00E61391">
        <w:rPr>
          <w:sz w:val="20"/>
        </w:rPr>
        <w:t xml:space="preserve">The Schedule varies </w:t>
      </w:r>
      <w:r>
        <w:rPr>
          <w:sz w:val="20"/>
        </w:rPr>
        <w:t>a Standard</w:t>
      </w:r>
      <w:r w:rsidRPr="00E61391">
        <w:rPr>
          <w:sz w:val="20"/>
        </w:rPr>
        <w:t xml:space="preserve"> in the </w:t>
      </w:r>
      <w:r w:rsidRPr="00E61391">
        <w:rPr>
          <w:i/>
          <w:sz w:val="20"/>
        </w:rPr>
        <w:t>Australia New Zealand Food Standards Code</w:t>
      </w:r>
      <w:r w:rsidRPr="00E61391">
        <w:rPr>
          <w:sz w:val="20"/>
        </w:rPr>
        <w:t>.</w:t>
      </w:r>
    </w:p>
    <w:p w14:paraId="3DE84F52" w14:textId="77777777" w:rsidR="007E7B67" w:rsidRPr="00E61391" w:rsidRDefault="007E7B67" w:rsidP="007E7B67">
      <w:pPr>
        <w:rPr>
          <w:sz w:val="20"/>
        </w:rPr>
      </w:pPr>
    </w:p>
    <w:p w14:paraId="1437E159" w14:textId="77777777" w:rsidR="007E7B67" w:rsidRPr="00E61391" w:rsidRDefault="007E7B67" w:rsidP="007E7B67">
      <w:pPr>
        <w:rPr>
          <w:b/>
          <w:sz w:val="20"/>
        </w:rPr>
      </w:pPr>
      <w:r w:rsidRPr="00E61391">
        <w:rPr>
          <w:b/>
          <w:sz w:val="20"/>
        </w:rPr>
        <w:t>3</w:t>
      </w:r>
      <w:r w:rsidRPr="00E61391">
        <w:rPr>
          <w:b/>
          <w:sz w:val="20"/>
        </w:rPr>
        <w:tab/>
        <w:t>Commencement</w:t>
      </w:r>
    </w:p>
    <w:p w14:paraId="3ECCBDAB" w14:textId="77777777" w:rsidR="007E7B67" w:rsidRPr="00E61391" w:rsidRDefault="007E7B67" w:rsidP="007E7B67">
      <w:pPr>
        <w:rPr>
          <w:sz w:val="20"/>
        </w:rPr>
      </w:pPr>
    </w:p>
    <w:p w14:paraId="4F9514A6" w14:textId="77777777" w:rsidR="007E7B67" w:rsidRPr="00E61391" w:rsidRDefault="007E7B67" w:rsidP="007E7B67">
      <w:pPr>
        <w:rPr>
          <w:sz w:val="20"/>
        </w:rPr>
      </w:pPr>
      <w:r>
        <w:rPr>
          <w:sz w:val="20"/>
        </w:rPr>
        <w:t>The variation</w:t>
      </w:r>
      <w:r w:rsidRPr="00E61391">
        <w:rPr>
          <w:sz w:val="20"/>
        </w:rPr>
        <w:t xml:space="preserve"> commence</w:t>
      </w:r>
      <w:r>
        <w:rPr>
          <w:sz w:val="20"/>
        </w:rPr>
        <w:t>s</w:t>
      </w:r>
      <w:r w:rsidRPr="00E61391">
        <w:rPr>
          <w:sz w:val="20"/>
        </w:rPr>
        <w:t xml:space="preserve"> immediately after the commencement of Standard 3.2.2.A.</w:t>
      </w:r>
    </w:p>
    <w:p w14:paraId="254601BE" w14:textId="77777777" w:rsidR="007E7B67" w:rsidRPr="00E61391" w:rsidRDefault="007E7B67" w:rsidP="007E7B67">
      <w:pPr>
        <w:rPr>
          <w:b/>
          <w:sz w:val="20"/>
        </w:rPr>
      </w:pPr>
    </w:p>
    <w:p w14:paraId="09BD9CE9" w14:textId="77777777" w:rsidR="007E7B67" w:rsidRPr="00E61391" w:rsidRDefault="007E7B67" w:rsidP="007E7B67">
      <w:pPr>
        <w:jc w:val="center"/>
        <w:rPr>
          <w:b/>
          <w:caps/>
          <w:sz w:val="20"/>
        </w:rPr>
      </w:pPr>
      <w:r w:rsidRPr="00E61391">
        <w:rPr>
          <w:b/>
          <w:caps/>
          <w:sz w:val="20"/>
        </w:rPr>
        <w:t>SCHEDULE</w:t>
      </w:r>
    </w:p>
    <w:p w14:paraId="4A3943AD" w14:textId="77777777" w:rsidR="007E7B67" w:rsidRPr="00E61391" w:rsidRDefault="007E7B67" w:rsidP="007E7B67">
      <w:pPr>
        <w:pStyle w:val="FSCh2Amendmentheading"/>
        <w:spacing w:before="240"/>
        <w:rPr>
          <w:i w:val="0"/>
          <w:sz w:val="20"/>
          <w:szCs w:val="20"/>
          <w:lang w:val="en-GB"/>
        </w:rPr>
      </w:pPr>
      <w:bookmarkStart w:id="119" w:name="_Toc419117459"/>
      <w:bookmarkStart w:id="120" w:name="_Toc94172685"/>
      <w:r w:rsidRPr="00E61391">
        <w:rPr>
          <w:i w:val="0"/>
          <w:sz w:val="20"/>
          <w:szCs w:val="20"/>
          <w:lang w:val="en-GB"/>
        </w:rPr>
        <w:t>Standard 1.1.1—Structure of the Code and general provisions</w:t>
      </w:r>
      <w:bookmarkEnd w:id="119"/>
      <w:bookmarkEnd w:id="120"/>
    </w:p>
    <w:p w14:paraId="11E6240F" w14:textId="3E7DC88E" w:rsidR="007E7B67" w:rsidRPr="00E61391" w:rsidRDefault="007E7B67" w:rsidP="007E7B67">
      <w:pPr>
        <w:pStyle w:val="FSCh5SchItem"/>
        <w:spacing w:before="240"/>
        <w:rPr>
          <w:sz w:val="20"/>
          <w:szCs w:val="20"/>
          <w:lang w:val="en-GB"/>
        </w:rPr>
      </w:pPr>
      <w:r w:rsidRPr="00E61391">
        <w:rPr>
          <w:sz w:val="20"/>
          <w:szCs w:val="20"/>
          <w:lang w:val="en-GB"/>
        </w:rPr>
        <w:t>[</w:t>
      </w:r>
      <w:r w:rsidRPr="00E61391">
        <w:rPr>
          <w:sz w:val="20"/>
          <w:szCs w:val="20"/>
          <w:lang w:val="en-GB"/>
        </w:rPr>
        <w:fldChar w:fldCharType="begin"/>
      </w:r>
      <w:r w:rsidRPr="00E61391">
        <w:rPr>
          <w:sz w:val="20"/>
          <w:szCs w:val="20"/>
          <w:lang w:val="en-GB"/>
        </w:rPr>
        <w:instrText xml:space="preserve"> SEQ Items \* MERGEFORMAT </w:instrText>
      </w:r>
      <w:r w:rsidRPr="00E61391">
        <w:rPr>
          <w:sz w:val="20"/>
          <w:szCs w:val="20"/>
          <w:lang w:val="en-GB"/>
        </w:rPr>
        <w:fldChar w:fldCharType="separate"/>
      </w:r>
      <w:r w:rsidR="00302799">
        <w:rPr>
          <w:noProof/>
          <w:sz w:val="20"/>
          <w:szCs w:val="20"/>
          <w:lang w:val="en-GB"/>
        </w:rPr>
        <w:t>1</w:t>
      </w:r>
      <w:r w:rsidRPr="00E61391">
        <w:rPr>
          <w:noProof/>
          <w:sz w:val="20"/>
          <w:szCs w:val="20"/>
          <w:lang w:val="en-GB"/>
        </w:rPr>
        <w:fldChar w:fldCharType="end"/>
      </w:r>
      <w:r w:rsidRPr="00E61391">
        <w:rPr>
          <w:sz w:val="20"/>
          <w:szCs w:val="20"/>
          <w:lang w:val="en-GB"/>
        </w:rPr>
        <w:t>]</w:t>
      </w:r>
      <w:r w:rsidRPr="00E61391">
        <w:rPr>
          <w:sz w:val="20"/>
          <w:szCs w:val="20"/>
          <w:lang w:val="en-GB"/>
        </w:rPr>
        <w:tab/>
        <w:t>Subsection 1.1.1—2(2)</w:t>
      </w:r>
    </w:p>
    <w:p w14:paraId="45020F9E" w14:textId="77777777" w:rsidR="007E7B67" w:rsidRPr="00E61391" w:rsidRDefault="007E7B67" w:rsidP="007E7B67">
      <w:pPr>
        <w:pStyle w:val="FSCtAmendingwords"/>
        <w:tabs>
          <w:tab w:val="left" w:pos="567"/>
        </w:tabs>
        <w:ind w:hanging="1134"/>
        <w:rPr>
          <w:sz w:val="20"/>
          <w:szCs w:val="20"/>
          <w:lang w:val="en-GB"/>
        </w:rPr>
      </w:pPr>
      <w:r>
        <w:rPr>
          <w:sz w:val="20"/>
          <w:szCs w:val="20"/>
          <w:lang w:val="en-GB"/>
        </w:rPr>
        <w:tab/>
      </w:r>
      <w:r>
        <w:rPr>
          <w:sz w:val="20"/>
          <w:szCs w:val="20"/>
          <w:lang w:val="en-GB"/>
        </w:rPr>
        <w:tab/>
      </w:r>
      <w:r w:rsidRPr="00E61391">
        <w:rPr>
          <w:sz w:val="20"/>
          <w:szCs w:val="20"/>
          <w:lang w:val="en-GB"/>
        </w:rPr>
        <w:t>Omit:</w:t>
      </w:r>
    </w:p>
    <w:p w14:paraId="7B1DF4C4" w14:textId="77777777" w:rsidR="007E7B67" w:rsidRPr="00E61391" w:rsidRDefault="007E7B67" w:rsidP="007E7B67">
      <w:pPr>
        <w:pStyle w:val="FSCoutStand"/>
        <w:rPr>
          <w:szCs w:val="20"/>
        </w:rPr>
      </w:pPr>
      <w:r w:rsidRPr="00E61391">
        <w:rPr>
          <w:szCs w:val="20"/>
        </w:rPr>
        <w:tab/>
        <w:t>Standard 3.2.2</w:t>
      </w:r>
      <w:r w:rsidRPr="00E61391">
        <w:rPr>
          <w:szCs w:val="20"/>
        </w:rPr>
        <w:tab/>
        <w:t>Food Safety Practices and General Requirements</w:t>
      </w:r>
    </w:p>
    <w:p w14:paraId="4743F146" w14:textId="77777777" w:rsidR="007E7B67" w:rsidRPr="00E61391" w:rsidRDefault="007E7B67" w:rsidP="007E7B67">
      <w:pPr>
        <w:pStyle w:val="FSCtAmendingwords"/>
        <w:rPr>
          <w:sz w:val="20"/>
          <w:szCs w:val="20"/>
          <w:lang w:val="en-GB"/>
        </w:rPr>
      </w:pPr>
      <w:r w:rsidRPr="00E61391">
        <w:rPr>
          <w:sz w:val="20"/>
          <w:szCs w:val="20"/>
          <w:lang w:val="en-GB"/>
        </w:rPr>
        <w:t>Substitute:</w:t>
      </w:r>
    </w:p>
    <w:p w14:paraId="148BDDD4" w14:textId="77777777" w:rsidR="007E7B67" w:rsidRPr="00E61391" w:rsidRDefault="007E7B67" w:rsidP="007E7B67">
      <w:pPr>
        <w:pStyle w:val="FSCoutStand"/>
        <w:rPr>
          <w:szCs w:val="20"/>
          <w:lang w:eastAsia="en-GB"/>
        </w:rPr>
      </w:pPr>
      <w:r w:rsidRPr="00E61391">
        <w:rPr>
          <w:rFonts w:cs="Times New Roman"/>
          <w:szCs w:val="20"/>
        </w:rPr>
        <w:tab/>
      </w:r>
      <w:r w:rsidRPr="00E61391">
        <w:rPr>
          <w:szCs w:val="20"/>
        </w:rPr>
        <w:t>Standard 3.2.2</w:t>
      </w:r>
      <w:r w:rsidRPr="00E61391">
        <w:rPr>
          <w:szCs w:val="20"/>
        </w:rPr>
        <w:tab/>
        <w:t>Food Safety Practices and General Requirements</w:t>
      </w:r>
    </w:p>
    <w:p w14:paraId="54C9C7DC" w14:textId="77777777" w:rsidR="007E7B67" w:rsidRPr="00E61391" w:rsidRDefault="007E7B67" w:rsidP="007E7B67">
      <w:pPr>
        <w:pStyle w:val="FSCoutStand"/>
        <w:rPr>
          <w:szCs w:val="20"/>
          <w:lang w:eastAsia="en-GB"/>
        </w:rPr>
      </w:pPr>
      <w:r w:rsidRPr="00E61391">
        <w:rPr>
          <w:rFonts w:cs="Times New Roman"/>
          <w:szCs w:val="20"/>
        </w:rPr>
        <w:tab/>
      </w:r>
      <w:r w:rsidRPr="00E61391">
        <w:rPr>
          <w:szCs w:val="20"/>
        </w:rPr>
        <w:t>Standard 3.2.2.A</w:t>
      </w:r>
      <w:r w:rsidRPr="00E61391">
        <w:rPr>
          <w:szCs w:val="20"/>
        </w:rPr>
        <w:tab/>
        <w:t>Food Safety Management Tools</w:t>
      </w:r>
    </w:p>
    <w:p w14:paraId="3E5899B5" w14:textId="77777777" w:rsidR="007E7B67" w:rsidRDefault="007E7B67">
      <w:pPr>
        <w:widowControl/>
        <w:rPr>
          <w:lang w:bidi="ar-SA"/>
        </w:rPr>
      </w:pPr>
      <w:r>
        <w:rPr>
          <w:lang w:bidi="ar-SA"/>
        </w:rPr>
        <w:br w:type="page"/>
      </w:r>
    </w:p>
    <w:p w14:paraId="3CA0D5A0" w14:textId="22AAC02B" w:rsidR="00AB0275" w:rsidRDefault="002C4A91" w:rsidP="00465397">
      <w:pPr>
        <w:pStyle w:val="Heading2"/>
        <w:numPr>
          <w:ilvl w:val="0"/>
          <w:numId w:val="0"/>
        </w:numPr>
      </w:pPr>
      <w:bookmarkStart w:id="121" w:name="_Toc94172686"/>
      <w:r w:rsidRPr="00932F14">
        <w:lastRenderedPageBreak/>
        <w:t xml:space="preserve">Attachment </w:t>
      </w:r>
      <w:r>
        <w:t xml:space="preserve">B – </w:t>
      </w:r>
      <w:r w:rsidR="00AB0275">
        <w:t>Draft Explanatory Statement</w:t>
      </w:r>
      <w:r w:rsidR="00EF7359">
        <w:t>s</w:t>
      </w:r>
      <w:bookmarkEnd w:id="121"/>
    </w:p>
    <w:p w14:paraId="0B9B0731" w14:textId="04C19ABF" w:rsidR="00EF7359" w:rsidRPr="00EF7359" w:rsidRDefault="00EF7359" w:rsidP="00EF7359">
      <w:pPr>
        <w:rPr>
          <w:lang w:bidi="ar-SA"/>
        </w:rPr>
      </w:pPr>
      <w:r>
        <w:rPr>
          <w:b/>
          <w:sz w:val="28"/>
          <w:szCs w:val="28"/>
          <w:lang w:bidi="ar-SA"/>
        </w:rPr>
        <w:t>Draft Standard 3.2.2A</w:t>
      </w:r>
      <w:r w:rsidRPr="00EF7359">
        <w:rPr>
          <w:b/>
          <w:sz w:val="28"/>
          <w:szCs w:val="28"/>
          <w:lang w:bidi="ar-SA"/>
        </w:rPr>
        <w:t xml:space="preserve">- </w:t>
      </w:r>
      <w:r w:rsidRPr="00EF7359">
        <w:rPr>
          <w:b/>
          <w:sz w:val="28"/>
          <w:szCs w:val="28"/>
        </w:rPr>
        <w:t>Food Safety Management Tools</w:t>
      </w:r>
      <w:r>
        <w:rPr>
          <w:b/>
          <w:sz w:val="28"/>
          <w:szCs w:val="28"/>
          <w:lang w:bidi="ar-SA"/>
        </w:rPr>
        <w:br/>
      </w:r>
    </w:p>
    <w:p w14:paraId="5528A546" w14:textId="77777777" w:rsidR="00FD342E" w:rsidRPr="007F01FC" w:rsidRDefault="00FD342E" w:rsidP="00EF7359">
      <w:pPr>
        <w:pStyle w:val="ListParagraph"/>
        <w:widowControl w:val="0"/>
        <w:numPr>
          <w:ilvl w:val="0"/>
          <w:numId w:val="36"/>
        </w:numPr>
        <w:ind w:left="0" w:firstLine="0"/>
        <w:rPr>
          <w:b/>
        </w:rPr>
      </w:pPr>
      <w:r w:rsidRPr="007F01FC">
        <w:rPr>
          <w:b/>
        </w:rPr>
        <w:t>Authority</w:t>
      </w:r>
    </w:p>
    <w:p w14:paraId="135962DF" w14:textId="77777777" w:rsidR="00FD342E" w:rsidRDefault="00FD342E" w:rsidP="00FD342E"/>
    <w:p w14:paraId="6732C2D3" w14:textId="77777777" w:rsidR="00FD342E" w:rsidRDefault="00FD342E" w:rsidP="00F84A9E">
      <w:pPr>
        <w:spacing w:after="240"/>
      </w:pPr>
      <w:r>
        <w:t xml:space="preserve">Section 13 of the </w:t>
      </w:r>
      <w:r w:rsidRPr="007F01FC">
        <w:rPr>
          <w:i/>
        </w:rPr>
        <w:t>Food Standards Australia New Zealand Act 1991</w:t>
      </w:r>
      <w:r>
        <w:t xml:space="preserve"> (the FSANZ Act) provides that the functions of Food Standards Australia New Zealand (the Authority</w:t>
      </w:r>
      <w:r w:rsidDel="008D0E05">
        <w:t>)</w:t>
      </w:r>
      <w:r>
        <w:t xml:space="preserve"> include the development of standards and variations of standards for inclusion in the </w:t>
      </w:r>
      <w:r w:rsidRPr="007F01FC">
        <w:rPr>
          <w:i/>
        </w:rPr>
        <w:t>Australia New Zealand Food Standards Code</w:t>
      </w:r>
      <w:r>
        <w:t xml:space="preserve"> (the Code).</w:t>
      </w:r>
    </w:p>
    <w:p w14:paraId="5713C4EE" w14:textId="77777777" w:rsidR="00FD342E" w:rsidRDefault="00FD342E" w:rsidP="00F84A9E">
      <w:pPr>
        <w:spacing w:after="240"/>
      </w:pPr>
      <w: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14:paraId="4FE29DD1" w14:textId="7DFA35F5" w:rsidR="00FD342E" w:rsidRDefault="00D6183B" w:rsidP="00F84A9E">
      <w:pPr>
        <w:spacing w:after="240"/>
      </w:pPr>
      <w:r>
        <w:t xml:space="preserve">The Authority </w:t>
      </w:r>
      <w:r w:rsidR="00FD342E">
        <w:t xml:space="preserve">prepared Proposal P1053 to consider mandating the use of </w:t>
      </w:r>
      <w:r w:rsidR="001F7545">
        <w:t xml:space="preserve">three </w:t>
      </w:r>
      <w:r w:rsidR="00FD342E">
        <w:t>food safety management tools. The Authority considered the Proposal in accordance with Division 2 of Part 3 and h</w:t>
      </w:r>
      <w:r w:rsidR="00F84A9E">
        <w:t xml:space="preserve">as prepared </w:t>
      </w:r>
      <w:r w:rsidR="002C1C9D">
        <w:t xml:space="preserve">a </w:t>
      </w:r>
      <w:r w:rsidR="00F84A9E">
        <w:t>draft Standard</w:t>
      </w:r>
      <w:r w:rsidR="002C1C9D" w:rsidRPr="002C1C9D">
        <w:rPr>
          <w:rFonts w:eastAsia="Calibri" w:cs="Arial"/>
          <w:bCs/>
          <w:szCs w:val="22"/>
          <w:lang w:val="en-AU" w:bidi="ar-SA"/>
        </w:rPr>
        <w:t xml:space="preserve"> </w:t>
      </w:r>
      <w:r w:rsidR="002C1C9D">
        <w:rPr>
          <w:rFonts w:eastAsia="Calibri" w:cs="Arial"/>
          <w:bCs/>
          <w:szCs w:val="22"/>
          <w:lang w:val="en-AU" w:bidi="ar-SA"/>
        </w:rPr>
        <w:t>and a draft consequential variation to Standard 1.1.1</w:t>
      </w:r>
      <w:r w:rsidR="00F84A9E">
        <w:t>.</w:t>
      </w:r>
      <w:r w:rsidR="00FC252D">
        <w:t xml:space="preserve"> </w:t>
      </w:r>
    </w:p>
    <w:p w14:paraId="43CD31C5" w14:textId="77777777" w:rsidR="00FD342E" w:rsidRDefault="00FD342E" w:rsidP="00EF7359">
      <w:pPr>
        <w:pStyle w:val="ListParagraph"/>
        <w:widowControl w:val="0"/>
        <w:numPr>
          <w:ilvl w:val="0"/>
          <w:numId w:val="36"/>
        </w:numPr>
        <w:spacing w:after="240"/>
        <w:ind w:left="0" w:firstLine="0"/>
        <w:rPr>
          <w:b/>
        </w:rPr>
      </w:pPr>
      <w:r w:rsidRPr="003A65A5">
        <w:rPr>
          <w:b/>
        </w:rPr>
        <w:t xml:space="preserve">Purpose </w:t>
      </w:r>
    </w:p>
    <w:p w14:paraId="09232324" w14:textId="545F0CA4" w:rsidR="00FD342E" w:rsidRDefault="00FD342E" w:rsidP="00F84A9E">
      <w:pPr>
        <w:spacing w:after="240"/>
      </w:pPr>
      <w:r>
        <w:rPr>
          <w:lang w:val="en-AU" w:eastAsia="en-GB" w:bidi="ar-SA"/>
        </w:rPr>
        <w:t>The Authority has prepared draft Standard 3.2.2A</w:t>
      </w:r>
      <w:r w:rsidR="00BD575E">
        <w:rPr>
          <w:lang w:val="en-AU" w:eastAsia="en-GB" w:bidi="ar-SA"/>
        </w:rPr>
        <w:t xml:space="preserve"> t</w:t>
      </w:r>
      <w:r>
        <w:rPr>
          <w:lang w:val="en-AU" w:eastAsia="en-GB" w:bidi="ar-SA"/>
        </w:rPr>
        <w:t xml:space="preserve">o enhance food safety control measures </w:t>
      </w:r>
      <w:r w:rsidR="00BD575E">
        <w:rPr>
          <w:lang w:val="en-AU" w:eastAsia="en-GB" w:bidi="ar-SA"/>
        </w:rPr>
        <w:t>for</w:t>
      </w:r>
      <w:r w:rsidRPr="009B1221">
        <w:rPr>
          <w:lang w:val="en-AU" w:eastAsia="en-GB" w:bidi="ar-SA"/>
        </w:rPr>
        <w:t xml:space="preserve"> food businesses that </w:t>
      </w:r>
      <w:r>
        <w:rPr>
          <w:lang w:val="en-AU" w:eastAsia="en-GB" w:bidi="ar-SA"/>
        </w:rPr>
        <w:t xml:space="preserve">handle </w:t>
      </w:r>
      <w:r w:rsidRPr="009B1221">
        <w:rPr>
          <w:lang w:val="en-AU" w:eastAsia="en-GB" w:bidi="ar-SA"/>
        </w:rPr>
        <w:t>potentially hazardous food</w:t>
      </w:r>
      <w:r w:rsidR="00BD575E">
        <w:rPr>
          <w:lang w:val="en-AU" w:eastAsia="en-GB" w:bidi="ar-SA"/>
        </w:rPr>
        <w:t xml:space="preserve"> in the food service and retail sectors. </w:t>
      </w:r>
    </w:p>
    <w:p w14:paraId="5C7597F4" w14:textId="04B4272E" w:rsidR="00FD342E" w:rsidRDefault="00FD342E" w:rsidP="00F84A9E">
      <w:pPr>
        <w:spacing w:after="240"/>
      </w:pPr>
      <w:r>
        <w:t xml:space="preserve">These measures, called food safety management tools, are applied proportionately to the risk posed by specific food handling activities. They are designed to improve the skills and knowledge of food handlers and their supervisors, and to assist both businesses and enforcement agencies to more quickly identify failures in the management of potentially hazardous food and take appropriate action. The tools </w:t>
      </w:r>
      <w:r w:rsidR="002F435D">
        <w:t xml:space="preserve">are: </w:t>
      </w:r>
      <w:r>
        <w:t xml:space="preserve">food safety training for food handlers engaged in prescribed activities; the appointment of food safety supervisors to advise and supervise the safe handling of specific food; and keeping evidence to substantiate the management of key food handling activities by certain businesses. </w:t>
      </w:r>
    </w:p>
    <w:p w14:paraId="64526935" w14:textId="77777777" w:rsidR="00FD342E" w:rsidRDefault="00FD342E" w:rsidP="00EF7359">
      <w:pPr>
        <w:pStyle w:val="ListParagraph"/>
        <w:widowControl w:val="0"/>
        <w:numPr>
          <w:ilvl w:val="0"/>
          <w:numId w:val="36"/>
        </w:numPr>
        <w:spacing w:after="240"/>
        <w:ind w:left="0" w:firstLine="0"/>
        <w:rPr>
          <w:b/>
        </w:rPr>
      </w:pPr>
      <w:r>
        <w:rPr>
          <w:b/>
        </w:rPr>
        <w:lastRenderedPageBreak/>
        <w:t>Documents incorporated by reference</w:t>
      </w:r>
    </w:p>
    <w:p w14:paraId="30442D64" w14:textId="71D723FA" w:rsidR="00BD575E" w:rsidRPr="00D13E34" w:rsidRDefault="00BD575E" w:rsidP="00BD575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w:t>
      </w:r>
      <w:r w:rsidRPr="00D13E34" w:rsidDel="00F47123">
        <w:rPr>
          <w:rFonts w:eastAsia="Calibri" w:cs="Arial"/>
          <w:bCs/>
          <w:szCs w:val="22"/>
          <w:lang w:val="en-AU" w:bidi="ar-SA"/>
        </w:rPr>
        <w:t xml:space="preserve"> </w:t>
      </w:r>
      <w:r>
        <w:rPr>
          <w:rFonts w:eastAsia="Calibri" w:cs="Arial"/>
          <w:bCs/>
          <w:szCs w:val="22"/>
          <w:lang w:val="en-AU" w:bidi="ar-SA"/>
        </w:rPr>
        <w:t xml:space="preserve">draft </w:t>
      </w:r>
      <w:r w:rsidR="009C734E">
        <w:rPr>
          <w:rFonts w:eastAsia="Calibri" w:cs="Arial"/>
          <w:bCs/>
          <w:szCs w:val="22"/>
          <w:lang w:val="en-AU" w:bidi="ar-SA"/>
        </w:rPr>
        <w:t>S</w:t>
      </w:r>
      <w:r>
        <w:rPr>
          <w:rFonts w:eastAsia="Calibri" w:cs="Arial"/>
          <w:bCs/>
          <w:szCs w:val="22"/>
          <w:lang w:val="en-AU" w:bidi="ar-SA"/>
        </w:rPr>
        <w:t>tandard</w:t>
      </w:r>
      <w:r w:rsidRPr="00D13E34">
        <w:rPr>
          <w:rFonts w:eastAsia="Calibri" w:cs="Arial"/>
          <w:bCs/>
          <w:szCs w:val="22"/>
          <w:lang w:val="en-AU" w:bidi="ar-SA"/>
        </w:rPr>
        <w:t xml:space="preserve"> </w:t>
      </w:r>
      <w:r w:rsidR="009C734E">
        <w:rPr>
          <w:rFonts w:eastAsia="Calibri" w:cs="Arial"/>
          <w:bCs/>
          <w:szCs w:val="22"/>
          <w:lang w:val="en-AU" w:bidi="ar-SA"/>
        </w:rPr>
        <w:t>does</w:t>
      </w:r>
      <w:r w:rsidRPr="00D13E34">
        <w:rPr>
          <w:rFonts w:eastAsia="Calibri" w:cs="Arial"/>
          <w:bCs/>
          <w:szCs w:val="22"/>
          <w:lang w:val="en-AU" w:bidi="ar-SA"/>
        </w:rPr>
        <w:t xml:space="preserve"> not incorporate any documents by reference.</w:t>
      </w:r>
    </w:p>
    <w:p w14:paraId="01B9855E" w14:textId="77777777" w:rsidR="00FD342E" w:rsidRDefault="00FD342E" w:rsidP="00F84A9E">
      <w:pPr>
        <w:pStyle w:val="ListParagraph"/>
        <w:spacing w:after="240"/>
        <w:ind w:left="0"/>
        <w:rPr>
          <w:b/>
        </w:rPr>
      </w:pPr>
    </w:p>
    <w:p w14:paraId="453E1322" w14:textId="77777777" w:rsidR="00FD342E" w:rsidRDefault="00FD342E" w:rsidP="00EF7359">
      <w:pPr>
        <w:pStyle w:val="ListParagraph"/>
        <w:widowControl w:val="0"/>
        <w:numPr>
          <w:ilvl w:val="0"/>
          <w:numId w:val="36"/>
        </w:numPr>
        <w:spacing w:after="240"/>
        <w:ind w:left="0" w:firstLine="0"/>
        <w:rPr>
          <w:b/>
        </w:rPr>
      </w:pPr>
      <w:r>
        <w:rPr>
          <w:b/>
        </w:rPr>
        <w:t>Consultation</w:t>
      </w:r>
    </w:p>
    <w:p w14:paraId="7970CABB" w14:textId="77777777" w:rsidR="00FD342E" w:rsidRPr="00781ECD" w:rsidRDefault="00FD342E" w:rsidP="00F84A9E">
      <w:pPr>
        <w:pStyle w:val="ListParagraph"/>
        <w:spacing w:after="240"/>
      </w:pPr>
    </w:p>
    <w:p w14:paraId="771E4E6F" w14:textId="3A733297" w:rsidR="00FD342E" w:rsidRDefault="00FD342E" w:rsidP="00F84A9E">
      <w:pPr>
        <w:pStyle w:val="ListParagraph"/>
        <w:spacing w:after="240"/>
        <w:ind w:left="0"/>
      </w:pPr>
      <w:r>
        <w:t>In accordance with the procedure in Division 2 of Part 3 of the Act, the Authority’s consideration of Proposal P1053 will include one round of public consultation following an assessment and the preparation of a draft Standard</w:t>
      </w:r>
      <w:r w:rsidR="007C0CB3">
        <w:t>, a draft consequential variation and an associated assessment summary</w:t>
      </w:r>
      <w:r>
        <w:t xml:space="preserve">. </w:t>
      </w:r>
    </w:p>
    <w:p w14:paraId="60B3E4BE" w14:textId="77777777" w:rsidR="00FD342E" w:rsidRDefault="00FD342E" w:rsidP="00F84A9E">
      <w:pPr>
        <w:pStyle w:val="ListParagraph"/>
        <w:spacing w:after="240"/>
        <w:ind w:left="0"/>
      </w:pPr>
    </w:p>
    <w:p w14:paraId="705B46EE" w14:textId="77777777" w:rsidR="00FD342E" w:rsidRPr="00781ECD" w:rsidRDefault="00FD342E" w:rsidP="00F84A9E">
      <w:pPr>
        <w:pStyle w:val="ListParagraph"/>
        <w:spacing w:after="240"/>
        <w:ind w:left="0"/>
      </w:pPr>
      <w:r>
        <w:t xml:space="preserve">A consultation Regulation Impact Statement (RIS) was prepared and is available on the FSANZ website. </w:t>
      </w:r>
    </w:p>
    <w:p w14:paraId="78BD069A" w14:textId="77777777" w:rsidR="00FD342E" w:rsidRPr="00781ECD" w:rsidRDefault="00FD342E" w:rsidP="00F84A9E">
      <w:pPr>
        <w:pStyle w:val="ListParagraph"/>
        <w:spacing w:after="240"/>
      </w:pPr>
    </w:p>
    <w:p w14:paraId="06B342C0" w14:textId="77777777" w:rsidR="00FD342E" w:rsidRDefault="00FD342E" w:rsidP="00EF7359">
      <w:pPr>
        <w:pStyle w:val="ListParagraph"/>
        <w:widowControl w:val="0"/>
        <w:numPr>
          <w:ilvl w:val="0"/>
          <w:numId w:val="36"/>
        </w:numPr>
        <w:spacing w:after="240"/>
        <w:ind w:left="0" w:firstLine="0"/>
        <w:rPr>
          <w:b/>
        </w:rPr>
      </w:pPr>
      <w:r>
        <w:rPr>
          <w:b/>
        </w:rPr>
        <w:t>Statement of compatibility with human rights</w:t>
      </w:r>
    </w:p>
    <w:p w14:paraId="26147C85" w14:textId="77777777" w:rsidR="00FD342E" w:rsidRDefault="00FD342E" w:rsidP="00F84A9E">
      <w:pPr>
        <w:pStyle w:val="ListParagraph"/>
        <w:spacing w:after="240"/>
        <w:ind w:left="0"/>
      </w:pPr>
    </w:p>
    <w:p w14:paraId="7AF9B9B4" w14:textId="77777777" w:rsidR="00FD342E" w:rsidRPr="00781ECD" w:rsidRDefault="00FD342E" w:rsidP="00F84A9E">
      <w:pPr>
        <w:pStyle w:val="ListParagraph"/>
        <w:spacing w:after="240"/>
        <w:ind w:left="0"/>
      </w:pPr>
      <w:r>
        <w:t>This instrument is exempt from the requirements for a statement of compatibility with human rights as it is a non-disallowable instrument under section 94 of the FSANZ Act.</w:t>
      </w:r>
    </w:p>
    <w:p w14:paraId="595621DB" w14:textId="77777777" w:rsidR="00FD342E" w:rsidRDefault="00FD342E" w:rsidP="00FD342E">
      <w:pPr>
        <w:pStyle w:val="ListParagraph"/>
        <w:rPr>
          <w:b/>
        </w:rPr>
      </w:pPr>
    </w:p>
    <w:p w14:paraId="585DA4F3" w14:textId="7A0AF063" w:rsidR="00FD342E" w:rsidRDefault="007E7B67" w:rsidP="00EF7359">
      <w:pPr>
        <w:pStyle w:val="ListParagraph"/>
        <w:keepNext/>
        <w:widowControl w:val="0"/>
        <w:numPr>
          <w:ilvl w:val="0"/>
          <w:numId w:val="36"/>
        </w:numPr>
        <w:ind w:left="284" w:hanging="284"/>
        <w:rPr>
          <w:b/>
        </w:rPr>
      </w:pPr>
      <w:r>
        <w:rPr>
          <w:b/>
        </w:rPr>
        <w:t>The draft Standard</w:t>
      </w:r>
    </w:p>
    <w:p w14:paraId="1B8DE8AE" w14:textId="77777777" w:rsidR="00FD342E" w:rsidRPr="003A65A5" w:rsidRDefault="00FD342E" w:rsidP="00F61BB6">
      <w:pPr>
        <w:pStyle w:val="ListParagraph"/>
        <w:keepNext/>
        <w:rPr>
          <w:b/>
        </w:rPr>
      </w:pPr>
    </w:p>
    <w:p w14:paraId="2E240BFE" w14:textId="7D05691E" w:rsidR="00FD342E" w:rsidRDefault="00FD342E" w:rsidP="00F84A9E">
      <w:pPr>
        <w:spacing w:after="240"/>
      </w:pPr>
      <w:r>
        <w:t xml:space="preserve">The draft food regulatory measure </w:t>
      </w:r>
      <w:r w:rsidR="00A41853">
        <w:t xml:space="preserve">would </w:t>
      </w:r>
      <w:r>
        <w:t>add a new Standard to the Code</w:t>
      </w:r>
      <w:r w:rsidR="00290A4D">
        <w:t xml:space="preserve"> – Standard 3.2.2A</w:t>
      </w:r>
      <w:r w:rsidR="00A41853">
        <w:t xml:space="preserve"> Food Safety Management Tools</w:t>
      </w:r>
      <w:r>
        <w:t xml:space="preserve">. </w:t>
      </w:r>
    </w:p>
    <w:p w14:paraId="44C1D6EA" w14:textId="1F0BC4F9" w:rsidR="00E069B9" w:rsidRDefault="00FD342E" w:rsidP="00F84A9E">
      <w:pPr>
        <w:spacing w:after="240"/>
      </w:pPr>
      <w:r>
        <w:t>Th</w:t>
      </w:r>
      <w:r w:rsidR="00DD3C43">
        <w:t>e</w:t>
      </w:r>
      <w:r w:rsidR="00290A4D">
        <w:t xml:space="preserve">re are two Notes </w:t>
      </w:r>
      <w:r w:rsidR="006F63B5">
        <w:t>immediately after the title of</w:t>
      </w:r>
      <w:r w:rsidR="00290A4D">
        <w:t xml:space="preserve"> th</w:t>
      </w:r>
      <w:r>
        <w:t xml:space="preserve">e </w:t>
      </w:r>
      <w:r w:rsidR="00CD084F">
        <w:t xml:space="preserve">proposed new </w:t>
      </w:r>
      <w:r>
        <w:t>Standard.</w:t>
      </w:r>
    </w:p>
    <w:p w14:paraId="11A696E5" w14:textId="70EA3232" w:rsidR="00E069B9" w:rsidRDefault="00D04607" w:rsidP="00F84A9E">
      <w:pPr>
        <w:spacing w:after="240"/>
      </w:pPr>
      <w:r>
        <w:t xml:space="preserve">Note </w:t>
      </w:r>
      <w:r w:rsidR="00DD087E">
        <w:t xml:space="preserve">1 </w:t>
      </w:r>
      <w:r w:rsidR="00FD342E">
        <w:t>explains that the instrument is a standard under the FSANZ Act, the standards together make up the Code</w:t>
      </w:r>
      <w:r w:rsidR="00E069B9">
        <w:t>, and refers to section 1.1.1—3 of the Code</w:t>
      </w:r>
      <w:r w:rsidR="00FD342E">
        <w:t xml:space="preserve">. </w:t>
      </w:r>
      <w:r w:rsidR="00E069B9">
        <w:t>Section 1.1.1—3 is a provision about the application of the Code.</w:t>
      </w:r>
    </w:p>
    <w:p w14:paraId="12652100" w14:textId="7318AC1C" w:rsidR="00FD342E" w:rsidRDefault="00D04607" w:rsidP="00F84A9E">
      <w:pPr>
        <w:spacing w:after="240"/>
        <w:rPr>
          <w:b/>
        </w:rPr>
      </w:pPr>
      <w:r>
        <w:t>Note</w:t>
      </w:r>
      <w:r w:rsidR="00DD087E">
        <w:t xml:space="preserve"> 2</w:t>
      </w:r>
      <w:r>
        <w:t xml:space="preserve"> </w:t>
      </w:r>
      <w:r w:rsidR="00FD342E">
        <w:t xml:space="preserve">explains the </w:t>
      </w:r>
      <w:r w:rsidR="00410006">
        <w:t xml:space="preserve">proposed new Standard </w:t>
      </w:r>
      <w:r w:rsidR="0072560D">
        <w:t>would apply</w:t>
      </w:r>
      <w:r w:rsidR="00410006">
        <w:t xml:space="preserve"> in Australia only – it </w:t>
      </w:r>
      <w:r w:rsidR="0072560D">
        <w:t>would</w:t>
      </w:r>
      <w:r w:rsidR="00410006">
        <w:t xml:space="preserve"> not apply</w:t>
      </w:r>
      <w:r w:rsidR="00FD342E">
        <w:t xml:space="preserve"> in New Zealand. </w:t>
      </w:r>
    </w:p>
    <w:p w14:paraId="0D0ED31B" w14:textId="71BCFC0B" w:rsidR="00FD342E" w:rsidRDefault="00FD342E" w:rsidP="00F84A9E">
      <w:pPr>
        <w:spacing w:after="240"/>
      </w:pPr>
      <w:r>
        <w:rPr>
          <w:b/>
        </w:rPr>
        <w:t xml:space="preserve">Section 3.2.2A—1 </w:t>
      </w:r>
      <w:r>
        <w:t xml:space="preserve">establishes that the name of the </w:t>
      </w:r>
      <w:r w:rsidR="001C562A">
        <w:t xml:space="preserve">proposed new </w:t>
      </w:r>
      <w:r>
        <w:t xml:space="preserve">Standard is the </w:t>
      </w:r>
      <w:r>
        <w:rPr>
          <w:i/>
        </w:rPr>
        <w:lastRenderedPageBreak/>
        <w:t xml:space="preserve">Australia New Zealand Food Standards Code </w:t>
      </w:r>
      <w:r w:rsidRPr="007C6746">
        <w:t>– Standard 3.2.2A – Food Safety Management Tools</w:t>
      </w:r>
      <w:r>
        <w:rPr>
          <w:i/>
        </w:rPr>
        <w:t>.</w:t>
      </w:r>
      <w:r w:rsidR="00FC252D">
        <w:rPr>
          <w:i/>
        </w:rPr>
        <w:t xml:space="preserve"> </w:t>
      </w:r>
      <w:r w:rsidR="00F40256">
        <w:t>There</w:t>
      </w:r>
      <w:r>
        <w:t xml:space="preserve"> also </w:t>
      </w:r>
      <w:r w:rsidR="00BF2CDF">
        <w:t xml:space="preserve">includes a </w:t>
      </w:r>
      <w:r w:rsidR="00D04607">
        <w:t>N</w:t>
      </w:r>
      <w:r w:rsidR="00BF2CDF">
        <w:t>ote</w:t>
      </w:r>
      <w:r w:rsidR="00F40256">
        <w:t xml:space="preserve"> after this section</w:t>
      </w:r>
      <w:r w:rsidR="00BF2CDF">
        <w:t xml:space="preserve"> explaining </w:t>
      </w:r>
      <w:r>
        <w:t xml:space="preserve">that the Standard commences </w:t>
      </w:r>
      <w:r w:rsidR="00787C65">
        <w:t xml:space="preserve">12 </w:t>
      </w:r>
      <w:r>
        <w:t xml:space="preserve">months </w:t>
      </w:r>
      <w:r w:rsidR="00D04607">
        <w:t xml:space="preserve">after </w:t>
      </w:r>
      <w:r>
        <w:t xml:space="preserve">the date of gazettal, being the date specified </w:t>
      </w:r>
      <w:r w:rsidR="00BA1864" w:rsidRPr="00BA1864">
        <w:t xml:space="preserve">as the commencement date </w:t>
      </w:r>
      <w:r>
        <w:t xml:space="preserve">in notices in the </w:t>
      </w:r>
      <w:r>
        <w:rPr>
          <w:i/>
        </w:rPr>
        <w:t xml:space="preserve">Gazette </w:t>
      </w:r>
      <w:r>
        <w:t xml:space="preserve">and the New Zealand Gazette </w:t>
      </w:r>
      <w:r w:rsidR="008D1262">
        <w:t xml:space="preserve">in accordance with </w:t>
      </w:r>
      <w:r>
        <w:t>section</w:t>
      </w:r>
      <w:r w:rsidR="00DD05E4">
        <w:t>s</w:t>
      </w:r>
      <w:r>
        <w:t xml:space="preserve"> 92 </w:t>
      </w:r>
      <w:r w:rsidR="00DD05E4">
        <w:t xml:space="preserve">and 93 </w:t>
      </w:r>
      <w:r>
        <w:t>of the</w:t>
      </w:r>
      <w:r w:rsidR="00D04607">
        <w:t xml:space="preserve"> FSANZ Act</w:t>
      </w:r>
      <w:r>
        <w:t xml:space="preserve">. </w:t>
      </w:r>
    </w:p>
    <w:p w14:paraId="0CC56550" w14:textId="4FB12616" w:rsidR="00FD342E" w:rsidRDefault="00FD342E" w:rsidP="00F84A9E">
      <w:pPr>
        <w:spacing w:before="240" w:after="240"/>
      </w:pPr>
      <w:bookmarkStart w:id="122" w:name="_Ref299606496"/>
      <w:bookmarkStart w:id="123" w:name="_Toc371505287"/>
      <w:bookmarkStart w:id="124" w:name="_Toc400031886"/>
      <w:bookmarkEnd w:id="122"/>
      <w:bookmarkEnd w:id="123"/>
      <w:bookmarkEnd w:id="124"/>
      <w:r>
        <w:rPr>
          <w:b/>
          <w:bCs/>
          <w:kern w:val="32"/>
        </w:rPr>
        <w:t xml:space="preserve">Section </w:t>
      </w:r>
      <w:r w:rsidRPr="00AB075F">
        <w:rPr>
          <w:b/>
          <w:bCs/>
          <w:kern w:val="32"/>
        </w:rPr>
        <w:t xml:space="preserve">3.2.2A—2 </w:t>
      </w:r>
      <w:r w:rsidR="00AD503A">
        <w:rPr>
          <w:bCs/>
          <w:kern w:val="32"/>
        </w:rPr>
        <w:t>sets out</w:t>
      </w:r>
      <w:r w:rsidR="00AD503A" w:rsidRPr="007B0EEC">
        <w:rPr>
          <w:bCs/>
          <w:kern w:val="32"/>
        </w:rPr>
        <w:t xml:space="preserve"> </w:t>
      </w:r>
      <w:r w:rsidRPr="007B0EEC">
        <w:rPr>
          <w:bCs/>
          <w:kern w:val="32"/>
        </w:rPr>
        <w:t xml:space="preserve">definitions for </w:t>
      </w:r>
      <w:r w:rsidR="007C6746">
        <w:rPr>
          <w:bCs/>
          <w:kern w:val="32"/>
        </w:rPr>
        <w:t xml:space="preserve">certain </w:t>
      </w:r>
      <w:r>
        <w:rPr>
          <w:bCs/>
          <w:kern w:val="32"/>
        </w:rPr>
        <w:t xml:space="preserve">key words used in </w:t>
      </w:r>
      <w:r w:rsidRPr="007B0EEC">
        <w:rPr>
          <w:bCs/>
          <w:kern w:val="32"/>
        </w:rPr>
        <w:t>this Standard</w:t>
      </w:r>
      <w:r>
        <w:rPr>
          <w:bCs/>
          <w:kern w:val="32"/>
        </w:rPr>
        <w:t xml:space="preserve">, </w:t>
      </w:r>
      <w:r w:rsidR="007C6746">
        <w:rPr>
          <w:bCs/>
          <w:kern w:val="32"/>
        </w:rPr>
        <w:t xml:space="preserve">and </w:t>
      </w:r>
      <w:r>
        <w:rPr>
          <w:bCs/>
          <w:kern w:val="32"/>
        </w:rPr>
        <w:t xml:space="preserve">signposts to </w:t>
      </w:r>
      <w:r w:rsidR="007C6746">
        <w:rPr>
          <w:bCs/>
          <w:kern w:val="32"/>
        </w:rPr>
        <w:t xml:space="preserve">the </w:t>
      </w:r>
      <w:r>
        <w:rPr>
          <w:bCs/>
          <w:kern w:val="32"/>
        </w:rPr>
        <w:t>definitions</w:t>
      </w:r>
      <w:r w:rsidR="007C6746">
        <w:rPr>
          <w:bCs/>
          <w:kern w:val="32"/>
        </w:rPr>
        <w:t xml:space="preserve"> of other key words used in </w:t>
      </w:r>
      <w:r w:rsidR="007C6746" w:rsidRPr="007B0EEC">
        <w:rPr>
          <w:bCs/>
          <w:kern w:val="32"/>
        </w:rPr>
        <w:t>this Standard</w:t>
      </w:r>
      <w:r w:rsidRPr="007B0EEC">
        <w:rPr>
          <w:bCs/>
          <w:kern w:val="32"/>
        </w:rPr>
        <w:t>.</w:t>
      </w:r>
      <w:r>
        <w:rPr>
          <w:bCs/>
          <w:kern w:val="32"/>
        </w:rPr>
        <w:t xml:space="preserve"> </w:t>
      </w:r>
    </w:p>
    <w:p w14:paraId="02070C6C" w14:textId="19BC9D13" w:rsidR="00CF4050" w:rsidRPr="003E685B" w:rsidRDefault="006252FD" w:rsidP="003E685B">
      <w:pPr>
        <w:spacing w:before="240" w:after="240"/>
        <w:rPr>
          <w:bCs/>
          <w:kern w:val="32"/>
        </w:rPr>
      </w:pPr>
      <w:r w:rsidRPr="003E685B">
        <w:rPr>
          <w:b/>
          <w:bCs/>
          <w:i/>
          <w:kern w:val="32"/>
        </w:rPr>
        <w:t>C</w:t>
      </w:r>
      <w:r w:rsidR="00CF4050" w:rsidRPr="003E685B">
        <w:rPr>
          <w:b/>
          <w:bCs/>
          <w:i/>
          <w:kern w:val="32"/>
        </w:rPr>
        <w:t>ategory one business</w:t>
      </w:r>
      <w:r w:rsidR="00CF4050" w:rsidRPr="003E685B">
        <w:rPr>
          <w:bCs/>
          <w:kern w:val="32"/>
        </w:rPr>
        <w:t xml:space="preserve"> and </w:t>
      </w:r>
      <w:r w:rsidR="00CF4050" w:rsidRPr="003E685B">
        <w:rPr>
          <w:b/>
          <w:bCs/>
          <w:i/>
          <w:kern w:val="32"/>
        </w:rPr>
        <w:t>category two business</w:t>
      </w:r>
      <w:r w:rsidR="00CF4050" w:rsidRPr="003E685B">
        <w:rPr>
          <w:bCs/>
          <w:kern w:val="32"/>
        </w:rPr>
        <w:t xml:space="preserve"> </w:t>
      </w:r>
      <w:r w:rsidRPr="003E685B">
        <w:rPr>
          <w:bCs/>
          <w:kern w:val="32"/>
        </w:rPr>
        <w:t xml:space="preserve">are defined in </w:t>
      </w:r>
      <w:r w:rsidR="00CA55E4" w:rsidRPr="003E685B">
        <w:rPr>
          <w:bCs/>
          <w:kern w:val="32"/>
        </w:rPr>
        <w:t xml:space="preserve">proposed sections 3.2.2A—6 and 3.2.2A—7 </w:t>
      </w:r>
      <w:r w:rsidR="00880885">
        <w:rPr>
          <w:bCs/>
          <w:kern w:val="32"/>
        </w:rPr>
        <w:t xml:space="preserve">respectively </w:t>
      </w:r>
      <w:r w:rsidRPr="003E685B">
        <w:rPr>
          <w:bCs/>
          <w:kern w:val="32"/>
        </w:rPr>
        <w:t>(see below)</w:t>
      </w:r>
      <w:r w:rsidR="00CF4050" w:rsidRPr="003E685B">
        <w:rPr>
          <w:bCs/>
          <w:kern w:val="32"/>
        </w:rPr>
        <w:t>.</w:t>
      </w:r>
    </w:p>
    <w:p w14:paraId="2556D767" w14:textId="5678F3F8" w:rsidR="007D0817" w:rsidRDefault="004D0187" w:rsidP="00F84A9E">
      <w:pPr>
        <w:pStyle w:val="FSCtDefn"/>
        <w:spacing w:before="240" w:after="240"/>
        <w:ind w:left="0"/>
        <w:rPr>
          <w:sz w:val="22"/>
        </w:rPr>
      </w:pPr>
      <w:r w:rsidRPr="00D97447">
        <w:rPr>
          <w:b/>
          <w:i/>
          <w:sz w:val="22"/>
        </w:rPr>
        <w:t>Food safety supervisor</w:t>
      </w:r>
      <w:r>
        <w:rPr>
          <w:i/>
          <w:sz w:val="22"/>
        </w:rPr>
        <w:t xml:space="preserve"> </w:t>
      </w:r>
      <w:r w:rsidR="006A4B94">
        <w:rPr>
          <w:sz w:val="22"/>
        </w:rPr>
        <w:t>means</w:t>
      </w:r>
      <w:r>
        <w:rPr>
          <w:sz w:val="22"/>
        </w:rPr>
        <w:t xml:space="preserve"> </w:t>
      </w:r>
      <w:r w:rsidRPr="00292345">
        <w:rPr>
          <w:sz w:val="22"/>
        </w:rPr>
        <w:t xml:space="preserve">a person who holds a </w:t>
      </w:r>
      <w:r w:rsidR="00212EDE">
        <w:rPr>
          <w:sz w:val="22"/>
        </w:rPr>
        <w:t>‘</w:t>
      </w:r>
      <w:r w:rsidRPr="00292345">
        <w:rPr>
          <w:sz w:val="22"/>
        </w:rPr>
        <w:t>food safety supervisor</w:t>
      </w:r>
      <w:r>
        <w:rPr>
          <w:sz w:val="22"/>
        </w:rPr>
        <w:t xml:space="preserve"> </w:t>
      </w:r>
      <w:r w:rsidRPr="00292345">
        <w:rPr>
          <w:sz w:val="22"/>
        </w:rPr>
        <w:t>certificate</w:t>
      </w:r>
      <w:r w:rsidR="00212EDE">
        <w:rPr>
          <w:sz w:val="22"/>
        </w:rPr>
        <w:t>’ (see below),</w:t>
      </w:r>
      <w:r w:rsidRPr="00292345">
        <w:rPr>
          <w:sz w:val="22"/>
        </w:rPr>
        <w:t xml:space="preserve"> </w:t>
      </w:r>
      <w:r>
        <w:rPr>
          <w:sz w:val="22"/>
        </w:rPr>
        <w:t xml:space="preserve">issued within the immediately preceding period of </w:t>
      </w:r>
      <w:r w:rsidR="006D5D05">
        <w:rPr>
          <w:sz w:val="22"/>
        </w:rPr>
        <w:t>five</w:t>
      </w:r>
      <w:r>
        <w:rPr>
          <w:sz w:val="22"/>
        </w:rPr>
        <w:t xml:space="preserve"> years</w:t>
      </w:r>
      <w:r w:rsidR="00212EDE">
        <w:rPr>
          <w:sz w:val="22"/>
        </w:rPr>
        <w:t>;</w:t>
      </w:r>
      <w:r>
        <w:rPr>
          <w:sz w:val="22"/>
        </w:rPr>
        <w:t xml:space="preserve"> </w:t>
      </w:r>
      <w:r w:rsidRPr="00292345">
        <w:rPr>
          <w:sz w:val="22"/>
        </w:rPr>
        <w:t xml:space="preserve">and </w:t>
      </w:r>
      <w:r w:rsidR="00212EDE">
        <w:rPr>
          <w:sz w:val="22"/>
        </w:rPr>
        <w:t xml:space="preserve">who </w:t>
      </w:r>
      <w:r w:rsidRPr="00292345">
        <w:rPr>
          <w:sz w:val="22"/>
        </w:rPr>
        <w:t>has the authority and ability to manage and give direction on the safe handling of food.</w:t>
      </w:r>
      <w:r w:rsidR="00884F24">
        <w:rPr>
          <w:sz w:val="22"/>
        </w:rPr>
        <w:t xml:space="preserve"> </w:t>
      </w:r>
    </w:p>
    <w:p w14:paraId="1DADB56D" w14:textId="15E5A0CF" w:rsidR="004D0187" w:rsidRDefault="00884F24" w:rsidP="00F84A9E">
      <w:pPr>
        <w:pStyle w:val="FSCtDefn"/>
        <w:spacing w:before="240" w:after="240"/>
        <w:ind w:left="0"/>
        <w:rPr>
          <w:b/>
          <w:sz w:val="22"/>
        </w:rPr>
      </w:pPr>
      <w:r>
        <w:rPr>
          <w:sz w:val="22"/>
        </w:rPr>
        <w:t>‘Handling’ is defined in clause 2 of Standard 3.1.1 (see below).</w:t>
      </w:r>
    </w:p>
    <w:p w14:paraId="0C51BAAC" w14:textId="4A959694" w:rsidR="007D0817" w:rsidRDefault="004D0187" w:rsidP="00F84A9E">
      <w:pPr>
        <w:pStyle w:val="FSCtDefn"/>
        <w:spacing w:before="240" w:after="240"/>
        <w:ind w:left="0"/>
        <w:rPr>
          <w:sz w:val="22"/>
        </w:rPr>
      </w:pPr>
      <w:r w:rsidRPr="003E685B">
        <w:rPr>
          <w:b/>
          <w:i/>
        </w:rPr>
        <w:t>F</w:t>
      </w:r>
      <w:r w:rsidR="00FD342E" w:rsidRPr="003E685B">
        <w:rPr>
          <w:b/>
          <w:i/>
        </w:rPr>
        <w:t>ood safety supervisor certificate</w:t>
      </w:r>
      <w:r w:rsidR="00FD342E">
        <w:rPr>
          <w:i/>
          <w:sz w:val="22"/>
        </w:rPr>
        <w:t xml:space="preserve"> </w:t>
      </w:r>
      <w:r w:rsidR="006A4B94">
        <w:rPr>
          <w:sz w:val="22"/>
        </w:rPr>
        <w:t>means</w:t>
      </w:r>
      <w:r w:rsidR="005049C1">
        <w:rPr>
          <w:sz w:val="22"/>
        </w:rPr>
        <w:t xml:space="preserve"> </w:t>
      </w:r>
      <w:r w:rsidR="005049C1" w:rsidRPr="003E685B">
        <w:rPr>
          <w:sz w:val="22"/>
        </w:rPr>
        <w:t>certification as a food safety supervisor</w:t>
      </w:r>
      <w:r w:rsidR="00212EDE">
        <w:rPr>
          <w:sz w:val="22"/>
        </w:rPr>
        <w:t xml:space="preserve"> (see above)</w:t>
      </w:r>
      <w:r w:rsidR="005049C1" w:rsidRPr="003E685B">
        <w:rPr>
          <w:sz w:val="22"/>
        </w:rPr>
        <w:t xml:space="preserve"> by either a registered training organisation; or an </w:t>
      </w:r>
      <w:r w:rsidR="00FD5BA5" w:rsidRPr="00FD5BA5">
        <w:rPr>
          <w:sz w:val="22"/>
        </w:rPr>
        <w:t xml:space="preserve">organisation recognised by the </w:t>
      </w:r>
      <w:r w:rsidR="005049C1" w:rsidRPr="003E685B">
        <w:rPr>
          <w:sz w:val="22"/>
        </w:rPr>
        <w:t>relevant authority under the application Act</w:t>
      </w:r>
      <w:r w:rsidR="006005F1">
        <w:rPr>
          <w:sz w:val="22"/>
        </w:rPr>
        <w:t xml:space="preserve"> </w:t>
      </w:r>
      <w:r w:rsidR="005049C1">
        <w:rPr>
          <w:sz w:val="22"/>
        </w:rPr>
        <w:t>.</w:t>
      </w:r>
      <w:r w:rsidR="00FD5BA5">
        <w:rPr>
          <w:sz w:val="22"/>
        </w:rPr>
        <w:t xml:space="preserve"> </w:t>
      </w:r>
    </w:p>
    <w:p w14:paraId="3592DD4C" w14:textId="73E297EC" w:rsidR="00FD342E" w:rsidRPr="00292345" w:rsidRDefault="00FD5BA5" w:rsidP="00F84A9E">
      <w:pPr>
        <w:pStyle w:val="FSCtDefn"/>
        <w:spacing w:before="240" w:after="240"/>
        <w:ind w:left="0"/>
        <w:rPr>
          <w:sz w:val="22"/>
        </w:rPr>
      </w:pPr>
      <w:r>
        <w:rPr>
          <w:sz w:val="22"/>
        </w:rPr>
        <w:t>‘Relevant authority</w:t>
      </w:r>
      <w:r w:rsidR="00D506E0">
        <w:rPr>
          <w:sz w:val="22"/>
        </w:rPr>
        <w:t>’</w:t>
      </w:r>
      <w:r w:rsidR="004B0BD0">
        <w:rPr>
          <w:sz w:val="22"/>
        </w:rPr>
        <w:t xml:space="preserve"> and</w:t>
      </w:r>
      <w:r w:rsidR="006005F1">
        <w:rPr>
          <w:sz w:val="22"/>
        </w:rPr>
        <w:t xml:space="preserve"> </w:t>
      </w:r>
      <w:r w:rsidR="00553B18">
        <w:rPr>
          <w:sz w:val="22"/>
        </w:rPr>
        <w:t>‘application Act’ are</w:t>
      </w:r>
      <w:r>
        <w:rPr>
          <w:sz w:val="22"/>
        </w:rPr>
        <w:t xml:space="preserve"> defined in section 1.1.2</w:t>
      </w:r>
      <w:r w:rsidR="00D506E0">
        <w:rPr>
          <w:sz w:val="22"/>
        </w:rPr>
        <w:t xml:space="preserve"> of the Code (see below)</w:t>
      </w:r>
      <w:r w:rsidR="00553B18">
        <w:rPr>
          <w:sz w:val="22"/>
        </w:rPr>
        <w:t>.</w:t>
      </w:r>
      <w:r w:rsidR="00553B18" w:rsidRPr="00553B18" w:rsidDel="004D0187">
        <w:rPr>
          <w:b/>
          <w:i/>
          <w:sz w:val="22"/>
        </w:rPr>
        <w:t xml:space="preserve"> </w:t>
      </w:r>
    </w:p>
    <w:p w14:paraId="1064E367" w14:textId="572ADFCC" w:rsidR="006252FD" w:rsidRPr="003E685B" w:rsidRDefault="00A16EBC" w:rsidP="003E685B">
      <w:pPr>
        <w:pStyle w:val="FSCtDefn"/>
        <w:spacing w:before="240" w:after="240"/>
        <w:ind w:left="0"/>
        <w:rPr>
          <w:sz w:val="22"/>
        </w:rPr>
      </w:pPr>
      <w:r w:rsidRPr="003E685B">
        <w:rPr>
          <w:b/>
          <w:i/>
          <w:sz w:val="22"/>
        </w:rPr>
        <w:t>F</w:t>
      </w:r>
      <w:r w:rsidR="00FD342E" w:rsidRPr="003E685B">
        <w:rPr>
          <w:b/>
          <w:i/>
          <w:sz w:val="22"/>
        </w:rPr>
        <w:t>ood safety training course</w:t>
      </w:r>
      <w:r w:rsidR="00FD342E" w:rsidRPr="003E685B">
        <w:rPr>
          <w:sz w:val="22"/>
        </w:rPr>
        <w:t xml:space="preserve"> </w:t>
      </w:r>
      <w:r w:rsidRPr="003E685B">
        <w:rPr>
          <w:sz w:val="22"/>
        </w:rPr>
        <w:t xml:space="preserve">means </w:t>
      </w:r>
      <w:r w:rsidR="006252FD" w:rsidRPr="003E685B">
        <w:rPr>
          <w:sz w:val="22"/>
        </w:rPr>
        <w:t>training in food safety that includes training in each of the following;</w:t>
      </w:r>
    </w:p>
    <w:p w14:paraId="097492B4" w14:textId="77777777" w:rsidR="006252FD" w:rsidRPr="00605234" w:rsidRDefault="006252FD" w:rsidP="003E685B">
      <w:pPr>
        <w:pStyle w:val="ListParagraph"/>
        <w:numPr>
          <w:ilvl w:val="0"/>
          <w:numId w:val="65"/>
        </w:numPr>
        <w:spacing w:after="240"/>
        <w:rPr>
          <w:bCs/>
        </w:rPr>
      </w:pPr>
      <w:r w:rsidRPr="00605234">
        <w:rPr>
          <w:bCs/>
        </w:rPr>
        <w:t>safe handling of food; and</w:t>
      </w:r>
    </w:p>
    <w:p w14:paraId="582CC447" w14:textId="77777777" w:rsidR="006252FD" w:rsidRPr="00605234" w:rsidRDefault="006252FD" w:rsidP="003E685B">
      <w:pPr>
        <w:pStyle w:val="ListParagraph"/>
        <w:numPr>
          <w:ilvl w:val="0"/>
          <w:numId w:val="65"/>
        </w:numPr>
        <w:spacing w:after="240"/>
        <w:rPr>
          <w:bCs/>
        </w:rPr>
      </w:pPr>
      <w:r w:rsidRPr="00605234">
        <w:rPr>
          <w:bCs/>
        </w:rPr>
        <w:t>food contamination; and</w:t>
      </w:r>
    </w:p>
    <w:p w14:paraId="11EC260B" w14:textId="77777777" w:rsidR="006252FD" w:rsidRPr="00605234" w:rsidRDefault="006252FD" w:rsidP="003E685B">
      <w:pPr>
        <w:pStyle w:val="ListParagraph"/>
        <w:numPr>
          <w:ilvl w:val="0"/>
          <w:numId w:val="65"/>
        </w:numPr>
        <w:spacing w:after="240"/>
        <w:rPr>
          <w:bCs/>
        </w:rPr>
      </w:pPr>
      <w:r w:rsidRPr="00605234">
        <w:rPr>
          <w:bCs/>
        </w:rPr>
        <w:t>cleaning and sanitising of food premises and equipment; and</w:t>
      </w:r>
    </w:p>
    <w:p w14:paraId="5E4077FD" w14:textId="22D86DAD" w:rsidR="00FD342E" w:rsidRPr="00605234" w:rsidRDefault="006252FD" w:rsidP="003E685B">
      <w:pPr>
        <w:pStyle w:val="ListParagraph"/>
        <w:numPr>
          <w:ilvl w:val="0"/>
          <w:numId w:val="65"/>
        </w:numPr>
        <w:spacing w:after="240"/>
        <w:rPr>
          <w:bCs/>
        </w:rPr>
      </w:pPr>
      <w:r w:rsidRPr="00605234">
        <w:rPr>
          <w:bCs/>
        </w:rPr>
        <w:t>personal hygiene</w:t>
      </w:r>
      <w:r w:rsidR="00FD342E" w:rsidRPr="00605234">
        <w:rPr>
          <w:bCs/>
        </w:rPr>
        <w:t xml:space="preserve">. </w:t>
      </w:r>
    </w:p>
    <w:p w14:paraId="44E1655C" w14:textId="3D25B855" w:rsidR="003A63B7" w:rsidRDefault="003A63B7" w:rsidP="006252FD">
      <w:pPr>
        <w:spacing w:before="240" w:after="240"/>
        <w:rPr>
          <w:b/>
          <w:i/>
        </w:rPr>
      </w:pPr>
      <w:r>
        <w:t>‘Food premises’ and ‘handling’ are defined in clause 2 of Standard 3.1.1 (see below).</w:t>
      </w:r>
    </w:p>
    <w:p w14:paraId="6402A548" w14:textId="0E6B4922" w:rsidR="006252FD" w:rsidRDefault="006252FD" w:rsidP="006252FD">
      <w:pPr>
        <w:spacing w:before="240" w:after="240"/>
      </w:pPr>
      <w:r w:rsidRPr="003E685B">
        <w:rPr>
          <w:b/>
          <w:i/>
        </w:rPr>
        <w:lastRenderedPageBreak/>
        <w:t>Potentially hazardous food</w:t>
      </w:r>
      <w:r>
        <w:t xml:space="preserve"> means food that has to be kept at certain temperatures to either:</w:t>
      </w:r>
    </w:p>
    <w:p w14:paraId="548B9F42" w14:textId="7837A799" w:rsidR="006252FD" w:rsidRDefault="006252FD" w:rsidP="003E685B">
      <w:pPr>
        <w:pStyle w:val="ListParagraph"/>
        <w:numPr>
          <w:ilvl w:val="0"/>
          <w:numId w:val="54"/>
        </w:numPr>
        <w:spacing w:before="240" w:after="240"/>
      </w:pPr>
      <w:r>
        <w:t>minimise the growth of any pathogenic microorganisms that may be present in the food; or</w:t>
      </w:r>
    </w:p>
    <w:p w14:paraId="631A7C66" w14:textId="77777777" w:rsidR="006252FD" w:rsidRDefault="006252FD" w:rsidP="003E685B">
      <w:pPr>
        <w:pStyle w:val="ListParagraph"/>
        <w:numPr>
          <w:ilvl w:val="0"/>
          <w:numId w:val="54"/>
        </w:numPr>
        <w:spacing w:before="240" w:after="240"/>
      </w:pPr>
      <w:r>
        <w:t>prevent the formation of toxins in the food.</w:t>
      </w:r>
    </w:p>
    <w:p w14:paraId="2308D78B" w14:textId="2F4D0887" w:rsidR="00215FE8" w:rsidRDefault="007D0817" w:rsidP="006252FD">
      <w:pPr>
        <w:spacing w:before="240" w:after="240"/>
      </w:pPr>
      <w:r>
        <w:t xml:space="preserve">This </w:t>
      </w:r>
      <w:r w:rsidR="00FD342E">
        <w:t>definition of</w:t>
      </w:r>
      <w:r w:rsidR="00FD342E" w:rsidRPr="00EA47D0">
        <w:t xml:space="preserve"> </w:t>
      </w:r>
      <w:r w:rsidR="007B26C7">
        <w:t>‘</w:t>
      </w:r>
      <w:r w:rsidR="00FD342E" w:rsidRPr="007B26C7">
        <w:t>potentially hazardous food</w:t>
      </w:r>
      <w:r w:rsidR="007B26C7">
        <w:t>’</w:t>
      </w:r>
      <w:r w:rsidR="00FD342E" w:rsidRPr="009F7609">
        <w:rPr>
          <w:b/>
        </w:rPr>
        <w:t xml:space="preserve"> </w:t>
      </w:r>
      <w:r w:rsidR="00FD342E">
        <w:t xml:space="preserve">is consistent with the definition </w:t>
      </w:r>
      <w:r w:rsidR="005D1559">
        <w:t xml:space="preserve">of that term </w:t>
      </w:r>
      <w:r w:rsidR="007B26C7">
        <w:t xml:space="preserve">provided </w:t>
      </w:r>
      <w:r w:rsidR="00FD342E">
        <w:t>in</w:t>
      </w:r>
      <w:r w:rsidR="00FD342E" w:rsidRPr="00ED5D65">
        <w:t xml:space="preserve"> Standard 3.2.2. </w:t>
      </w:r>
    </w:p>
    <w:p w14:paraId="6A480B69" w14:textId="6FC6EAE5" w:rsidR="00FD342E" w:rsidRDefault="00215FE8" w:rsidP="006252FD">
      <w:pPr>
        <w:spacing w:before="240" w:after="240"/>
      </w:pPr>
      <w:r>
        <w:rPr>
          <w:b/>
          <w:i/>
        </w:rPr>
        <w:t>Prescribed activity</w:t>
      </w:r>
      <w:r w:rsidR="00FC252D">
        <w:rPr>
          <w:b/>
          <w:i/>
        </w:rPr>
        <w:t xml:space="preserve"> </w:t>
      </w:r>
      <w:r>
        <w:t>is defined in proposed section 3.2.2A—5 (see below).</w:t>
      </w:r>
    </w:p>
    <w:p w14:paraId="37746DBA" w14:textId="77777777" w:rsidR="007D0817" w:rsidRDefault="00AD503A" w:rsidP="00F84A9E">
      <w:pPr>
        <w:spacing w:before="240" w:after="240"/>
      </w:pPr>
      <w:r w:rsidRPr="00AD503A">
        <w:rPr>
          <w:b/>
          <w:i/>
        </w:rPr>
        <w:t>Process</w:t>
      </w:r>
      <w:r>
        <w:t xml:space="preserve">, </w:t>
      </w:r>
      <w:r w:rsidRPr="00AD503A">
        <w:t>in relation to food, means activity conducted to prepare food for sale and includes</w:t>
      </w:r>
      <w:r>
        <w:t xml:space="preserve"> (but is not limited to)</w:t>
      </w:r>
      <w:r w:rsidRPr="00AD503A">
        <w:t xml:space="preserve"> chopping, cooking, drying, fermenting, heating, thawing and washing, or a combination of these activities</w:t>
      </w:r>
      <w:r>
        <w:t>.</w:t>
      </w:r>
      <w:r w:rsidRPr="00AD503A">
        <w:t xml:space="preserve"> </w:t>
      </w:r>
    </w:p>
    <w:p w14:paraId="68EAA790" w14:textId="3381AF9D" w:rsidR="00FD342E" w:rsidRDefault="00AD503A" w:rsidP="00F84A9E">
      <w:pPr>
        <w:spacing w:before="240" w:after="240"/>
      </w:pPr>
      <w:r w:rsidRPr="00AD503A">
        <w:t>Th</w:t>
      </w:r>
      <w:r>
        <w:t>is</w:t>
      </w:r>
      <w:r w:rsidRPr="00E230EA">
        <w:t xml:space="preserve"> </w:t>
      </w:r>
      <w:r w:rsidR="00FD342E" w:rsidRPr="00E230EA">
        <w:t>definition of</w:t>
      </w:r>
      <w:r w:rsidR="00FD342E" w:rsidRPr="007254D6">
        <w:t xml:space="preserve"> </w:t>
      </w:r>
      <w:r w:rsidR="007B26C7">
        <w:t>‘</w:t>
      </w:r>
      <w:r w:rsidR="00FD342E" w:rsidRPr="007B26C7">
        <w:t>process</w:t>
      </w:r>
      <w:r w:rsidR="007B26C7">
        <w:t>’</w:t>
      </w:r>
      <w:r w:rsidR="00FD342E" w:rsidRPr="00EA47D0">
        <w:t xml:space="preserve"> </w:t>
      </w:r>
      <w:r w:rsidR="00FD342E">
        <w:t xml:space="preserve">is </w:t>
      </w:r>
      <w:r w:rsidR="00087E5E">
        <w:t xml:space="preserve">similar </w:t>
      </w:r>
      <w:r w:rsidR="00FD342E">
        <w:t xml:space="preserve">to the definition </w:t>
      </w:r>
      <w:r w:rsidR="007D0817">
        <w:t xml:space="preserve">of that term </w:t>
      </w:r>
      <w:r w:rsidR="007B26C7">
        <w:t xml:space="preserve">provided </w:t>
      </w:r>
      <w:r w:rsidR="00FD342E">
        <w:t>in</w:t>
      </w:r>
      <w:r w:rsidR="00FD342E" w:rsidRPr="00ED5D65">
        <w:t xml:space="preserve"> Standard 3.2.2</w:t>
      </w:r>
      <w:r>
        <w:t>.</w:t>
      </w:r>
      <w:r w:rsidR="00FC252D">
        <w:t xml:space="preserve"> </w:t>
      </w:r>
    </w:p>
    <w:p w14:paraId="041FC987" w14:textId="77777777" w:rsidR="00E9314F" w:rsidRDefault="00E9314F" w:rsidP="00E9314F">
      <w:pPr>
        <w:spacing w:before="240" w:after="240"/>
      </w:pPr>
      <w:r>
        <w:rPr>
          <w:b/>
          <w:i/>
        </w:rPr>
        <w:t xml:space="preserve">Ready–to-eat </w:t>
      </w:r>
      <w:r w:rsidRPr="003E685B">
        <w:t>food</w:t>
      </w:r>
      <w:r>
        <w:t xml:space="preserve"> means food that is ordinarily consumed in the same state as that in which it is sold, but does not include:</w:t>
      </w:r>
    </w:p>
    <w:p w14:paraId="5282FFBB" w14:textId="173A8B98" w:rsidR="00E9314F" w:rsidRDefault="00E9314F" w:rsidP="003E685B">
      <w:pPr>
        <w:pStyle w:val="ListParagraph"/>
        <w:numPr>
          <w:ilvl w:val="0"/>
          <w:numId w:val="55"/>
        </w:numPr>
        <w:spacing w:before="240" w:after="240"/>
      </w:pPr>
      <w:r>
        <w:t>nuts in the shell; or</w:t>
      </w:r>
    </w:p>
    <w:p w14:paraId="069991E9" w14:textId="252EDC86" w:rsidR="00E9314F" w:rsidRDefault="00E9314F" w:rsidP="003E685B">
      <w:pPr>
        <w:pStyle w:val="ListParagraph"/>
        <w:numPr>
          <w:ilvl w:val="0"/>
          <w:numId w:val="55"/>
        </w:numPr>
        <w:spacing w:before="240" w:after="240"/>
      </w:pPr>
      <w:r>
        <w:t>whole, raw fruits; or</w:t>
      </w:r>
    </w:p>
    <w:p w14:paraId="18DD7184" w14:textId="4E133D3C" w:rsidR="00E9314F" w:rsidRDefault="00E9314F" w:rsidP="003E685B">
      <w:pPr>
        <w:pStyle w:val="ListParagraph"/>
        <w:numPr>
          <w:ilvl w:val="0"/>
          <w:numId w:val="55"/>
        </w:numPr>
        <w:spacing w:before="240" w:after="240"/>
      </w:pPr>
      <w:r>
        <w:t>vegetables that are intended for hulling, peeling or washing by the consumer.</w:t>
      </w:r>
    </w:p>
    <w:p w14:paraId="0D2B3926" w14:textId="6DAE91FE" w:rsidR="00FD342E" w:rsidRPr="00085BE9" w:rsidRDefault="00E9314F" w:rsidP="00F84A9E">
      <w:pPr>
        <w:spacing w:before="240" w:after="240"/>
      </w:pPr>
      <w:r w:rsidRPr="00E9314F">
        <w:t>Th</w:t>
      </w:r>
      <w:r>
        <w:t>is</w:t>
      </w:r>
      <w:r w:rsidRPr="00085BE9">
        <w:t xml:space="preserve"> </w:t>
      </w:r>
      <w:r w:rsidR="00FD342E" w:rsidRPr="00085BE9">
        <w:t xml:space="preserve">definition </w:t>
      </w:r>
      <w:r w:rsidR="00FD342E">
        <w:t>of</w:t>
      </w:r>
      <w:r w:rsidR="00FD342E" w:rsidRPr="00085BE9">
        <w:t xml:space="preserve"> </w:t>
      </w:r>
      <w:r w:rsidR="007B26C7">
        <w:t>‘</w:t>
      </w:r>
      <w:r w:rsidR="00FD342E" w:rsidRPr="007B26C7">
        <w:t>ready-to-eat food</w:t>
      </w:r>
      <w:r w:rsidR="007B26C7">
        <w:t>’</w:t>
      </w:r>
      <w:r w:rsidR="00FD342E" w:rsidRPr="00085BE9">
        <w:t xml:space="preserve"> </w:t>
      </w:r>
      <w:r w:rsidR="00FD342E">
        <w:t xml:space="preserve">is </w:t>
      </w:r>
      <w:r w:rsidR="000C2F18">
        <w:t>consistent with</w:t>
      </w:r>
      <w:r w:rsidR="00FD342E">
        <w:t xml:space="preserve"> the </w:t>
      </w:r>
      <w:r w:rsidR="000067B5">
        <w:t xml:space="preserve">definition </w:t>
      </w:r>
      <w:r w:rsidR="007B26C7">
        <w:t xml:space="preserve">of that term </w:t>
      </w:r>
      <w:r w:rsidR="00FD342E">
        <w:t>provided in</w:t>
      </w:r>
      <w:r w:rsidR="00FD342E" w:rsidRPr="00ED5D65">
        <w:t xml:space="preserve"> Standard 3.2.2</w:t>
      </w:r>
      <w:r w:rsidR="000C2F18">
        <w:t>.</w:t>
      </w:r>
      <w:r w:rsidR="00FD342E" w:rsidRPr="00085BE9">
        <w:t xml:space="preserve"> </w:t>
      </w:r>
    </w:p>
    <w:p w14:paraId="2FA6C5C3" w14:textId="62DBBA3F" w:rsidR="000C2F18" w:rsidRDefault="00FD342E" w:rsidP="00F84A9E">
      <w:pPr>
        <w:spacing w:before="240" w:after="240"/>
      </w:pPr>
      <w:r>
        <w:t xml:space="preserve">Two notes are included at the end of </w:t>
      </w:r>
      <w:r w:rsidR="00774709">
        <w:t xml:space="preserve">proposed section </w:t>
      </w:r>
      <w:r w:rsidR="00774709">
        <w:rPr>
          <w:bCs/>
          <w:kern w:val="32"/>
        </w:rPr>
        <w:t>3.2.2A—2</w:t>
      </w:r>
      <w:r>
        <w:t xml:space="preserve">, which </w:t>
      </w:r>
      <w:r w:rsidR="000E6355">
        <w:t>sets out a copy of</w:t>
      </w:r>
      <w:r>
        <w:t xml:space="preserve"> relevant definitions contained in other parts of the Code. </w:t>
      </w:r>
    </w:p>
    <w:p w14:paraId="4ACC8BB1" w14:textId="61B7F357" w:rsidR="00654DDE" w:rsidRDefault="00FD342E" w:rsidP="00F84A9E">
      <w:pPr>
        <w:spacing w:before="240" w:after="240"/>
        <w:rPr>
          <w:i/>
        </w:rPr>
      </w:pPr>
      <w:r>
        <w:t xml:space="preserve">Note 1 refers to section 1.1.2—2 of the Code and </w:t>
      </w:r>
      <w:r w:rsidR="000C2F18">
        <w:t>sets o</w:t>
      </w:r>
      <w:r w:rsidR="00654DDE">
        <w:t>u</w:t>
      </w:r>
      <w:r w:rsidR="000C2F18">
        <w:t xml:space="preserve">t a copy of </w:t>
      </w:r>
      <w:r>
        <w:t xml:space="preserve">the definitions </w:t>
      </w:r>
      <w:r w:rsidR="000C2F18">
        <w:t xml:space="preserve">in that section </w:t>
      </w:r>
      <w:r>
        <w:t xml:space="preserve">for </w:t>
      </w:r>
      <w:r w:rsidRPr="003E685B">
        <w:rPr>
          <w:b/>
          <w:i/>
        </w:rPr>
        <w:t>application Act</w:t>
      </w:r>
      <w:r>
        <w:rPr>
          <w:i/>
        </w:rPr>
        <w:t xml:space="preserve">, </w:t>
      </w:r>
      <w:r w:rsidR="00CF4050" w:rsidRPr="003E685B">
        <w:rPr>
          <w:b/>
          <w:i/>
        </w:rPr>
        <w:t>authorised officer</w:t>
      </w:r>
      <w:r w:rsidR="00CF4050">
        <w:rPr>
          <w:i/>
        </w:rPr>
        <w:t xml:space="preserve">, </w:t>
      </w:r>
      <w:r w:rsidRPr="003E685B">
        <w:rPr>
          <w:b/>
          <w:i/>
        </w:rPr>
        <w:t>caterer</w:t>
      </w:r>
      <w:r>
        <w:rPr>
          <w:i/>
        </w:rPr>
        <w:t xml:space="preserve">, </w:t>
      </w:r>
      <w:r w:rsidRPr="003E685B">
        <w:rPr>
          <w:b/>
          <w:i/>
        </w:rPr>
        <w:t>fund raising event</w:t>
      </w:r>
      <w:r w:rsidR="00CF4050">
        <w:rPr>
          <w:i/>
        </w:rPr>
        <w:t xml:space="preserve">, </w:t>
      </w:r>
      <w:r w:rsidR="00CF4050" w:rsidRPr="003E685B">
        <w:rPr>
          <w:b/>
          <w:i/>
        </w:rPr>
        <w:t>jurisdiction</w:t>
      </w:r>
      <w:r w:rsidR="00CF4050">
        <w:rPr>
          <w:i/>
        </w:rPr>
        <w:t xml:space="preserve"> </w:t>
      </w:r>
      <w:r w:rsidR="00CF4050" w:rsidRPr="00CF4050">
        <w:t>and</w:t>
      </w:r>
      <w:r w:rsidR="00CF4050">
        <w:rPr>
          <w:i/>
        </w:rPr>
        <w:t xml:space="preserve"> </w:t>
      </w:r>
      <w:r w:rsidR="00CF4050" w:rsidRPr="003E685B">
        <w:rPr>
          <w:b/>
          <w:i/>
        </w:rPr>
        <w:t>relevant authority</w:t>
      </w:r>
      <w:r>
        <w:rPr>
          <w:i/>
        </w:rPr>
        <w:t xml:space="preserve">. </w:t>
      </w:r>
    </w:p>
    <w:p w14:paraId="2F51D34C" w14:textId="211A5CEE" w:rsidR="00CF4050" w:rsidRPr="00CF4050" w:rsidRDefault="00FD342E" w:rsidP="00F84A9E">
      <w:pPr>
        <w:spacing w:before="240" w:after="240"/>
        <w:rPr>
          <w:i/>
        </w:rPr>
      </w:pPr>
      <w:r>
        <w:lastRenderedPageBreak/>
        <w:t xml:space="preserve">Note 2 refers to clause 2 of Standard 3.1.1 and </w:t>
      </w:r>
      <w:r w:rsidR="00654DDE">
        <w:t>sets out a copy of</w:t>
      </w:r>
      <w:r>
        <w:t xml:space="preserve"> the definition</w:t>
      </w:r>
      <w:r w:rsidR="00654DDE">
        <w:t>s in that section</w:t>
      </w:r>
      <w:r>
        <w:t xml:space="preserve"> for</w:t>
      </w:r>
      <w:r w:rsidR="00CF4050">
        <w:t xml:space="preserve"> </w:t>
      </w:r>
      <w:r w:rsidR="00CF4050" w:rsidRPr="003E685B">
        <w:rPr>
          <w:b/>
          <w:i/>
        </w:rPr>
        <w:t>food business</w:t>
      </w:r>
      <w:r w:rsidR="00CF4050">
        <w:t xml:space="preserve">, </w:t>
      </w:r>
      <w:r w:rsidR="00CF4050" w:rsidRPr="003E685B">
        <w:rPr>
          <w:b/>
          <w:i/>
        </w:rPr>
        <w:t>food premises</w:t>
      </w:r>
      <w:r w:rsidR="00CF4050">
        <w:t xml:space="preserve"> and </w:t>
      </w:r>
      <w:r w:rsidRPr="003E685B">
        <w:rPr>
          <w:b/>
          <w:i/>
        </w:rPr>
        <w:t>handling</w:t>
      </w:r>
      <w:r>
        <w:rPr>
          <w:i/>
        </w:rPr>
        <w:t xml:space="preserve">. </w:t>
      </w:r>
    </w:p>
    <w:p w14:paraId="656020CF" w14:textId="2786C295" w:rsidR="006A0CFE" w:rsidRDefault="00FD342E" w:rsidP="00F84A9E">
      <w:pPr>
        <w:spacing w:after="240"/>
        <w:rPr>
          <w:b/>
          <w:bCs/>
          <w:kern w:val="32"/>
        </w:rPr>
      </w:pPr>
      <w:r>
        <w:rPr>
          <w:b/>
          <w:bCs/>
          <w:kern w:val="32"/>
        </w:rPr>
        <w:t xml:space="preserve">Section 3.2.2A—3 </w:t>
      </w:r>
      <w:r w:rsidR="00E567E2">
        <w:rPr>
          <w:bCs/>
          <w:kern w:val="32"/>
        </w:rPr>
        <w:t>is about</w:t>
      </w:r>
      <w:r w:rsidR="00905A29" w:rsidRPr="003E685B">
        <w:rPr>
          <w:bCs/>
          <w:kern w:val="32"/>
        </w:rPr>
        <w:t xml:space="preserve"> the application of proposed new Standard 3.2.2A.</w:t>
      </w:r>
      <w:r w:rsidR="00905A29">
        <w:rPr>
          <w:b/>
          <w:bCs/>
          <w:kern w:val="32"/>
        </w:rPr>
        <w:t xml:space="preserve"> </w:t>
      </w:r>
    </w:p>
    <w:p w14:paraId="57FA3D4A" w14:textId="464D92E3" w:rsidR="00E567E2" w:rsidRDefault="00905A29" w:rsidP="00F84A9E">
      <w:pPr>
        <w:spacing w:after="240"/>
        <w:rPr>
          <w:bCs/>
          <w:kern w:val="32"/>
        </w:rPr>
      </w:pPr>
      <w:r w:rsidRPr="00010091">
        <w:rPr>
          <w:b/>
          <w:bCs/>
          <w:kern w:val="32"/>
        </w:rPr>
        <w:t>Proposed section 3.2.2A—3</w:t>
      </w:r>
      <w:r w:rsidRPr="003E685B">
        <w:rPr>
          <w:bCs/>
          <w:kern w:val="32"/>
        </w:rPr>
        <w:t xml:space="preserve"> states that </w:t>
      </w:r>
      <w:r w:rsidR="00FD342E">
        <w:rPr>
          <w:bCs/>
          <w:kern w:val="32"/>
        </w:rPr>
        <w:t>the</w:t>
      </w:r>
      <w:r w:rsidR="00837F55">
        <w:rPr>
          <w:bCs/>
          <w:kern w:val="32"/>
        </w:rPr>
        <w:t xml:space="preserve"> </w:t>
      </w:r>
      <w:r w:rsidR="00837F55" w:rsidRPr="00D97447">
        <w:rPr>
          <w:bCs/>
          <w:kern w:val="32"/>
        </w:rPr>
        <w:t>proposed new</w:t>
      </w:r>
      <w:r w:rsidR="00FD342E">
        <w:rPr>
          <w:bCs/>
          <w:kern w:val="32"/>
        </w:rPr>
        <w:t xml:space="preserve"> Standard applies to category one and category two food businesses in Australia, but does not apply to the handling of food for or at a fund raising event. </w:t>
      </w:r>
    </w:p>
    <w:p w14:paraId="74C8B6CE" w14:textId="3FB95588" w:rsidR="00FD342E" w:rsidRDefault="00905A29" w:rsidP="00F84A9E">
      <w:pPr>
        <w:spacing w:after="240"/>
      </w:pPr>
      <w:r>
        <w:rPr>
          <w:bCs/>
          <w:kern w:val="32"/>
        </w:rPr>
        <w:t>‘</w:t>
      </w:r>
      <w:r w:rsidR="00FD342E" w:rsidRPr="00AD648F">
        <w:t>Category one food business</w:t>
      </w:r>
      <w:r>
        <w:t>’</w:t>
      </w:r>
      <w:r w:rsidR="00FD342E" w:rsidRPr="00AD648F">
        <w:t xml:space="preserve"> and </w:t>
      </w:r>
      <w:r>
        <w:t>‘c</w:t>
      </w:r>
      <w:r w:rsidRPr="00AD648F">
        <w:t xml:space="preserve">ategory </w:t>
      </w:r>
      <w:r w:rsidR="00FD342E" w:rsidRPr="00AD648F">
        <w:t>two food business</w:t>
      </w:r>
      <w:r>
        <w:t>’</w:t>
      </w:r>
      <w:r w:rsidR="00FD342E" w:rsidRPr="00AD648F">
        <w:t xml:space="preserve"> </w:t>
      </w:r>
      <w:r w:rsidR="000E2EBC">
        <w:t>are</w:t>
      </w:r>
      <w:r w:rsidR="000E2EBC" w:rsidRPr="00AD648F">
        <w:t xml:space="preserve"> </w:t>
      </w:r>
      <w:r w:rsidR="00FD342E" w:rsidRPr="00AD648F">
        <w:t xml:space="preserve">described in </w:t>
      </w:r>
      <w:r w:rsidR="00BE604C">
        <w:t>proposed section</w:t>
      </w:r>
      <w:r w:rsidR="00E567E2">
        <w:t xml:space="preserve">s </w:t>
      </w:r>
      <w:r w:rsidR="00E567E2" w:rsidRPr="00AD648F">
        <w:t xml:space="preserve">3.2.2A—6 </w:t>
      </w:r>
      <w:r w:rsidR="00E567E2">
        <w:t>and</w:t>
      </w:r>
      <w:r w:rsidR="00BE604C">
        <w:t xml:space="preserve"> </w:t>
      </w:r>
      <w:r w:rsidR="00FD342E" w:rsidRPr="00AD648F">
        <w:t>3.2.2A—7</w:t>
      </w:r>
      <w:r>
        <w:t xml:space="preserve"> </w:t>
      </w:r>
      <w:r w:rsidR="00E567E2">
        <w:t xml:space="preserve">respectively </w:t>
      </w:r>
      <w:r>
        <w:t>(see below)</w:t>
      </w:r>
      <w:r w:rsidR="00FD342E" w:rsidRPr="00AD648F">
        <w:t>.</w:t>
      </w:r>
      <w:r w:rsidR="000E2EBC">
        <w:t xml:space="preserve"> </w:t>
      </w:r>
      <w:r w:rsidR="000E2EBC">
        <w:rPr>
          <w:bCs/>
          <w:kern w:val="32"/>
        </w:rPr>
        <w:t>‘Fund raising event’ is defined in section 1.1.2—2 of the Code.</w:t>
      </w:r>
      <w:r w:rsidR="000E2EBC">
        <w:t xml:space="preserve"> ‘Handling’ is defined in clause 2 of Standard 3.1.1.</w:t>
      </w:r>
    </w:p>
    <w:p w14:paraId="6A70FF4E" w14:textId="63A020F0" w:rsidR="006A0CFE" w:rsidRDefault="00FD342E" w:rsidP="00F84A9E">
      <w:pPr>
        <w:spacing w:after="240"/>
        <w:rPr>
          <w:b/>
          <w:bCs/>
        </w:rPr>
      </w:pPr>
      <w:r>
        <w:rPr>
          <w:b/>
          <w:bCs/>
        </w:rPr>
        <w:t>Section</w:t>
      </w:r>
      <w:r w:rsidRPr="000A19FD">
        <w:rPr>
          <w:bCs/>
        </w:rPr>
        <w:t xml:space="preserve"> </w:t>
      </w:r>
      <w:r w:rsidRPr="00E03E6A">
        <w:rPr>
          <w:b/>
          <w:bCs/>
        </w:rPr>
        <w:t>3.2.2A—4</w:t>
      </w:r>
      <w:r>
        <w:rPr>
          <w:b/>
          <w:bCs/>
        </w:rPr>
        <w:t xml:space="preserve"> </w:t>
      </w:r>
      <w:r w:rsidR="001A04F6">
        <w:rPr>
          <w:bCs/>
        </w:rPr>
        <w:t>sets out</w:t>
      </w:r>
      <w:r w:rsidR="00A37CAA">
        <w:rPr>
          <w:bCs/>
        </w:rPr>
        <w:t xml:space="preserve"> what </w:t>
      </w:r>
      <w:r w:rsidR="00D7691C">
        <w:rPr>
          <w:bCs/>
        </w:rPr>
        <w:t>constitutes</w:t>
      </w:r>
      <w:r w:rsidR="006A0CFE" w:rsidRPr="003E685B">
        <w:rPr>
          <w:bCs/>
        </w:rPr>
        <w:t xml:space="preserve"> </w:t>
      </w:r>
      <w:r w:rsidR="00A37CAA">
        <w:rPr>
          <w:bCs/>
        </w:rPr>
        <w:t>‘</w:t>
      </w:r>
      <w:r w:rsidR="006A0CFE" w:rsidRPr="003E685B">
        <w:rPr>
          <w:bCs/>
        </w:rPr>
        <w:t>food service</w:t>
      </w:r>
      <w:r w:rsidR="00A37CAA">
        <w:rPr>
          <w:bCs/>
        </w:rPr>
        <w:t>’</w:t>
      </w:r>
      <w:r w:rsidR="007879C6">
        <w:rPr>
          <w:bCs/>
        </w:rPr>
        <w:t xml:space="preserve"> for the purposes of </w:t>
      </w:r>
      <w:r w:rsidR="007879C6" w:rsidRPr="00D97447">
        <w:rPr>
          <w:bCs/>
          <w:kern w:val="32"/>
        </w:rPr>
        <w:t>proposed new Standard 3.2.2A</w:t>
      </w:r>
      <w:r w:rsidR="006A0CFE" w:rsidRPr="003E685B">
        <w:rPr>
          <w:bCs/>
        </w:rPr>
        <w:t>.</w:t>
      </w:r>
      <w:r w:rsidR="006A0CFE">
        <w:rPr>
          <w:b/>
          <w:bCs/>
        </w:rPr>
        <w:t xml:space="preserve"> </w:t>
      </w:r>
    </w:p>
    <w:p w14:paraId="0BD747CB" w14:textId="3920982C" w:rsidR="00030F48" w:rsidRDefault="00A37CAA" w:rsidP="00F84A9E">
      <w:pPr>
        <w:spacing w:after="240"/>
      </w:pPr>
      <w:r w:rsidRPr="00DE2315">
        <w:rPr>
          <w:b/>
          <w:bCs/>
        </w:rPr>
        <w:t>Proposed s</w:t>
      </w:r>
      <w:r w:rsidR="006A0CFE" w:rsidRPr="00DE2315">
        <w:rPr>
          <w:b/>
          <w:bCs/>
        </w:rPr>
        <w:t>ubsection 3.2.2A—4(1)</w:t>
      </w:r>
      <w:r w:rsidR="006A0CFE">
        <w:rPr>
          <w:bCs/>
        </w:rPr>
        <w:t xml:space="preserve"> </w:t>
      </w:r>
      <w:r w:rsidR="007879C6">
        <w:rPr>
          <w:bCs/>
        </w:rPr>
        <w:t xml:space="preserve">provides that </w:t>
      </w:r>
      <w:r w:rsidR="006A0CFE">
        <w:rPr>
          <w:bCs/>
        </w:rPr>
        <w:t>‘</w:t>
      </w:r>
      <w:r w:rsidR="00FD342E">
        <w:rPr>
          <w:bCs/>
        </w:rPr>
        <w:t>food service</w:t>
      </w:r>
      <w:r w:rsidR="006A0CFE">
        <w:rPr>
          <w:bCs/>
        </w:rPr>
        <w:t>’</w:t>
      </w:r>
      <w:r w:rsidR="007879C6">
        <w:rPr>
          <w:bCs/>
        </w:rPr>
        <w:t>,</w:t>
      </w:r>
      <w:r w:rsidR="00FD342E">
        <w:rPr>
          <w:bCs/>
        </w:rPr>
        <w:t xml:space="preserve"> for the purposes of </w:t>
      </w:r>
      <w:r w:rsidR="009C25B6">
        <w:rPr>
          <w:bCs/>
        </w:rPr>
        <w:t xml:space="preserve">the </w:t>
      </w:r>
      <w:r w:rsidR="00837F55" w:rsidRPr="00D97447">
        <w:rPr>
          <w:bCs/>
          <w:kern w:val="32"/>
        </w:rPr>
        <w:t>proposed new Standard</w:t>
      </w:r>
      <w:r w:rsidR="007879C6">
        <w:rPr>
          <w:bCs/>
          <w:kern w:val="32"/>
        </w:rPr>
        <w:t>,</w:t>
      </w:r>
      <w:r w:rsidR="007879C6">
        <w:rPr>
          <w:bCs/>
        </w:rPr>
        <w:t xml:space="preserve"> means</w:t>
      </w:r>
      <w:r w:rsidR="006A0CFE" w:rsidRPr="008A2219">
        <w:t xml:space="preserve"> a food business</w:t>
      </w:r>
      <w:r w:rsidR="006A0CFE">
        <w:t xml:space="preserve"> which processes and serves ready-to-eat food direct to a consumer, whether consumed at the food premises or elsewhere.</w:t>
      </w:r>
      <w:r w:rsidR="005A1C72">
        <w:t xml:space="preserve"> </w:t>
      </w:r>
    </w:p>
    <w:p w14:paraId="519B5B34" w14:textId="76B7FFA5" w:rsidR="006A0CFE" w:rsidRDefault="005A1C72" w:rsidP="00F84A9E">
      <w:pPr>
        <w:spacing w:after="240"/>
        <w:rPr>
          <w:bCs/>
        </w:rPr>
      </w:pPr>
      <w:r>
        <w:t>‘Process’ in relation to food and ‘ready-to-eat’ are defined in proposed section 3.2.2A—2 (see above).</w:t>
      </w:r>
      <w:r w:rsidR="00AF3BCC">
        <w:t xml:space="preserve"> ‘Food business’ and ‘food premises’ are defined in</w:t>
      </w:r>
      <w:r w:rsidR="00284C21">
        <w:t xml:space="preserve"> clause 2 of Standard 3</w:t>
      </w:r>
      <w:r w:rsidR="00AF3BCC">
        <w:t>.</w:t>
      </w:r>
    </w:p>
    <w:p w14:paraId="40A007C8" w14:textId="7467CDEF" w:rsidR="00DF3DA2" w:rsidRPr="00DF3DA2" w:rsidRDefault="00A37CAA" w:rsidP="003E685B">
      <w:pPr>
        <w:spacing w:after="240"/>
      </w:pPr>
      <w:r w:rsidRPr="00DE2315">
        <w:rPr>
          <w:b/>
        </w:rPr>
        <w:t>Proposed s</w:t>
      </w:r>
      <w:r w:rsidR="006A0CFE" w:rsidRPr="00DE2315">
        <w:rPr>
          <w:b/>
        </w:rPr>
        <w:t>ubsection 3.2.2A—4(2)</w:t>
      </w:r>
      <w:r w:rsidR="006A0CFE" w:rsidRPr="00DF3DA2">
        <w:t xml:space="preserve"> </w:t>
      </w:r>
      <w:r w:rsidR="00DF3DA2" w:rsidRPr="00DF3DA2">
        <w:t xml:space="preserve">provides that, for the purposes of subsection </w:t>
      </w:r>
      <w:r w:rsidR="00A418F0">
        <w:rPr>
          <w:bCs/>
        </w:rPr>
        <w:t>3.2.2A—4</w:t>
      </w:r>
      <w:r w:rsidR="00DF3DA2" w:rsidRPr="00DF3DA2">
        <w:t xml:space="preserve">(1), </w:t>
      </w:r>
      <w:r w:rsidR="00571B34">
        <w:t>‘</w:t>
      </w:r>
      <w:r w:rsidR="00DF3DA2" w:rsidRPr="00571B34">
        <w:t>serve</w:t>
      </w:r>
      <w:r w:rsidR="00571B34">
        <w:t>’</w:t>
      </w:r>
      <w:r w:rsidR="00DF3DA2" w:rsidRPr="00DF3DA2">
        <w:t xml:space="preserve"> means the act of setting out or presenting food to or for a person to eat that food</w:t>
      </w:r>
      <w:r w:rsidR="00F2520D">
        <w:t>;</w:t>
      </w:r>
      <w:r w:rsidR="00DF3DA2" w:rsidRPr="00DF3DA2">
        <w:t xml:space="preserve"> and includes the following activities:</w:t>
      </w:r>
    </w:p>
    <w:p w14:paraId="56576968" w14:textId="77777777" w:rsidR="00DF3DA2" w:rsidRPr="00DF3DA2" w:rsidRDefault="00DF3DA2" w:rsidP="003E685B">
      <w:pPr>
        <w:pStyle w:val="ListParagraph"/>
        <w:numPr>
          <w:ilvl w:val="0"/>
          <w:numId w:val="58"/>
        </w:numPr>
        <w:spacing w:after="240"/>
      </w:pPr>
      <w:r w:rsidRPr="00DF3DA2">
        <w:t>portioning food from a bulk tray or container into single serves and placing it on plates; or</w:t>
      </w:r>
    </w:p>
    <w:p w14:paraId="7273AE3E" w14:textId="77777777" w:rsidR="00DF3DA2" w:rsidRPr="00BE604C" w:rsidRDefault="00DF3DA2" w:rsidP="003E685B">
      <w:pPr>
        <w:pStyle w:val="ListParagraph"/>
        <w:numPr>
          <w:ilvl w:val="0"/>
          <w:numId w:val="58"/>
        </w:numPr>
        <w:spacing w:after="240"/>
      </w:pPr>
      <w:r w:rsidRPr="00BE604C">
        <w:t>presenting food in a bain-marie or other bulk food display unit for self</w:t>
      </w:r>
      <w:r w:rsidRPr="00BE604C">
        <w:noBreakHyphen/>
        <w:t>service; or</w:t>
      </w:r>
    </w:p>
    <w:p w14:paraId="5870BA97" w14:textId="5AF07D34" w:rsidR="006A0CFE" w:rsidRPr="00DF3DA2" w:rsidRDefault="00DF3DA2" w:rsidP="003E685B">
      <w:pPr>
        <w:pStyle w:val="ListParagraph"/>
        <w:numPr>
          <w:ilvl w:val="0"/>
          <w:numId w:val="58"/>
        </w:numPr>
        <w:spacing w:after="240"/>
      </w:pPr>
      <w:r w:rsidRPr="00BE604C">
        <w:t>delivery of plated food.</w:t>
      </w:r>
    </w:p>
    <w:p w14:paraId="57F53101" w14:textId="1E1E5257" w:rsidR="00BE604C" w:rsidRDefault="00FD342E" w:rsidP="00F84A9E">
      <w:pPr>
        <w:spacing w:after="240"/>
        <w:rPr>
          <w:bCs/>
        </w:rPr>
      </w:pPr>
      <w:r>
        <w:rPr>
          <w:b/>
          <w:bCs/>
        </w:rPr>
        <w:lastRenderedPageBreak/>
        <w:t>Section</w:t>
      </w:r>
      <w:r w:rsidRPr="000A19FD">
        <w:rPr>
          <w:bCs/>
        </w:rPr>
        <w:t xml:space="preserve"> </w:t>
      </w:r>
      <w:r w:rsidRPr="00E03E6A">
        <w:rPr>
          <w:b/>
          <w:bCs/>
        </w:rPr>
        <w:t>3.2.2A—</w:t>
      </w:r>
      <w:r>
        <w:rPr>
          <w:b/>
          <w:bCs/>
        </w:rPr>
        <w:t xml:space="preserve">5 </w:t>
      </w:r>
      <w:r w:rsidR="002A3312">
        <w:rPr>
          <w:bCs/>
        </w:rPr>
        <w:t xml:space="preserve">sets out what </w:t>
      </w:r>
      <w:r w:rsidR="008F7DA0">
        <w:rPr>
          <w:bCs/>
        </w:rPr>
        <w:t>constitutes</w:t>
      </w:r>
      <w:r w:rsidR="00BE604C" w:rsidRPr="003E685B">
        <w:rPr>
          <w:bCs/>
        </w:rPr>
        <w:t xml:space="preserve"> </w:t>
      </w:r>
      <w:r w:rsidR="00F2520D">
        <w:rPr>
          <w:bCs/>
        </w:rPr>
        <w:t>‘</w:t>
      </w:r>
      <w:r w:rsidR="00BE604C" w:rsidRPr="003E685B">
        <w:rPr>
          <w:bCs/>
        </w:rPr>
        <w:t>prescribed activities</w:t>
      </w:r>
      <w:r w:rsidR="00F2520D">
        <w:rPr>
          <w:bCs/>
        </w:rPr>
        <w:t>’</w:t>
      </w:r>
      <w:r w:rsidR="002F38DD">
        <w:rPr>
          <w:bCs/>
        </w:rPr>
        <w:t xml:space="preserve"> for the purposes of proposed new Standard 3.2.2A</w:t>
      </w:r>
      <w:r w:rsidR="00BE604C">
        <w:rPr>
          <w:bCs/>
        </w:rPr>
        <w:t xml:space="preserve">. </w:t>
      </w:r>
    </w:p>
    <w:p w14:paraId="0CFE1727" w14:textId="6719D688" w:rsidR="00BE604C" w:rsidRPr="00BE604C" w:rsidRDefault="002F38DD" w:rsidP="00BE604C">
      <w:pPr>
        <w:spacing w:after="240"/>
        <w:rPr>
          <w:bCs/>
        </w:rPr>
      </w:pPr>
      <w:r w:rsidRPr="002A3843">
        <w:rPr>
          <w:b/>
        </w:rPr>
        <w:t>Proposed subsection 3.2.2A—5</w:t>
      </w:r>
      <w:r>
        <w:t xml:space="preserve"> provides that, f</w:t>
      </w:r>
      <w:r w:rsidR="00BE604C" w:rsidRPr="00BE604C">
        <w:rPr>
          <w:bCs/>
        </w:rPr>
        <w:t xml:space="preserve">or the purposes of </w:t>
      </w:r>
      <w:r w:rsidR="00571B34">
        <w:rPr>
          <w:bCs/>
        </w:rPr>
        <w:t xml:space="preserve">the </w:t>
      </w:r>
      <w:r w:rsidR="00BE604C">
        <w:rPr>
          <w:bCs/>
        </w:rPr>
        <w:t>proposed new</w:t>
      </w:r>
      <w:r w:rsidR="00BE604C" w:rsidRPr="00BE604C">
        <w:rPr>
          <w:bCs/>
        </w:rPr>
        <w:t xml:space="preserve"> Standard, a </w:t>
      </w:r>
      <w:r w:rsidR="00BE604C">
        <w:rPr>
          <w:bCs/>
        </w:rPr>
        <w:t>‘</w:t>
      </w:r>
      <w:r w:rsidR="00BE604C" w:rsidRPr="00BE604C">
        <w:rPr>
          <w:bCs/>
        </w:rPr>
        <w:t>prescribed activity</w:t>
      </w:r>
      <w:r w:rsidR="00BE604C">
        <w:rPr>
          <w:bCs/>
        </w:rPr>
        <w:t>’</w:t>
      </w:r>
      <w:r w:rsidR="00BE604C" w:rsidRPr="00BE604C">
        <w:rPr>
          <w:bCs/>
        </w:rPr>
        <w:t xml:space="preserve"> is the handling by the food business of any unpackaged potentially hazardous food</w:t>
      </w:r>
      <w:r w:rsidR="00A96534">
        <w:rPr>
          <w:bCs/>
        </w:rPr>
        <w:t xml:space="preserve"> </w:t>
      </w:r>
      <w:r w:rsidR="00BE604C" w:rsidRPr="00BE604C">
        <w:rPr>
          <w:bCs/>
        </w:rPr>
        <w:t>that:</w:t>
      </w:r>
    </w:p>
    <w:p w14:paraId="0ACAF170" w14:textId="6F393D2B" w:rsidR="00BE604C" w:rsidRPr="00BE604C" w:rsidRDefault="00571B34" w:rsidP="003E685B">
      <w:pPr>
        <w:pStyle w:val="ListParagraph"/>
        <w:numPr>
          <w:ilvl w:val="0"/>
          <w:numId w:val="59"/>
        </w:numPr>
        <w:spacing w:after="240"/>
        <w:rPr>
          <w:bCs/>
        </w:rPr>
      </w:pPr>
      <w:r>
        <w:rPr>
          <w:bCs/>
        </w:rPr>
        <w:t xml:space="preserve">is used in the preparation of </w:t>
      </w:r>
      <w:r w:rsidR="00BE604C" w:rsidRPr="00BE604C">
        <w:rPr>
          <w:bCs/>
        </w:rPr>
        <w:t>ready-to-eat food</w:t>
      </w:r>
      <w:r w:rsidR="006E3B2B">
        <w:rPr>
          <w:bCs/>
        </w:rPr>
        <w:t xml:space="preserve"> </w:t>
      </w:r>
      <w:r w:rsidR="00BE604C" w:rsidRPr="00BE604C">
        <w:rPr>
          <w:bCs/>
        </w:rPr>
        <w:t>to be served to a consumer; or</w:t>
      </w:r>
    </w:p>
    <w:p w14:paraId="27BBE082" w14:textId="2466627C" w:rsidR="00BE604C" w:rsidRPr="003E685B" w:rsidRDefault="00BE604C" w:rsidP="003E685B">
      <w:pPr>
        <w:pStyle w:val="ListParagraph"/>
        <w:numPr>
          <w:ilvl w:val="0"/>
          <w:numId w:val="59"/>
        </w:numPr>
        <w:spacing w:after="240"/>
        <w:rPr>
          <w:bCs/>
        </w:rPr>
      </w:pPr>
      <w:r w:rsidRPr="00BE604C">
        <w:rPr>
          <w:bCs/>
        </w:rPr>
        <w:t>is ready-to-eat food intended for retail sale by that business.</w:t>
      </w:r>
    </w:p>
    <w:p w14:paraId="1C6F4E65" w14:textId="31EE3987" w:rsidR="00284C21" w:rsidRDefault="00284C21" w:rsidP="00F84A9E">
      <w:pPr>
        <w:spacing w:after="240"/>
        <w:rPr>
          <w:bCs/>
        </w:rPr>
      </w:pPr>
      <w:r>
        <w:t>‘Food business’ is defined in clause 2 of Standard 3.3.1. ‘</w:t>
      </w:r>
      <w:r>
        <w:rPr>
          <w:bCs/>
        </w:rPr>
        <w:t>P</w:t>
      </w:r>
      <w:r w:rsidRPr="00BE604C">
        <w:rPr>
          <w:bCs/>
        </w:rPr>
        <w:t>otentially hazardous food</w:t>
      </w:r>
      <w:r>
        <w:rPr>
          <w:bCs/>
        </w:rPr>
        <w:t>’ and ‘</w:t>
      </w:r>
      <w:r w:rsidRPr="00BE604C">
        <w:rPr>
          <w:bCs/>
        </w:rPr>
        <w:t>ready-to-eat food</w:t>
      </w:r>
      <w:r>
        <w:rPr>
          <w:bCs/>
        </w:rPr>
        <w:t>’ are defined in proposed section 3.2.2A—2 (see above).</w:t>
      </w:r>
    </w:p>
    <w:p w14:paraId="589E18E6" w14:textId="476C7A54" w:rsidR="00FD342E" w:rsidRDefault="00FD342E" w:rsidP="00F84A9E">
      <w:pPr>
        <w:spacing w:after="240"/>
        <w:rPr>
          <w:bCs/>
        </w:rPr>
      </w:pPr>
      <w:r>
        <w:rPr>
          <w:bCs/>
        </w:rPr>
        <w:t>Th</w:t>
      </w:r>
      <w:r w:rsidR="00DA2A95">
        <w:rPr>
          <w:bCs/>
        </w:rPr>
        <w:t>is</w:t>
      </w:r>
      <w:r w:rsidR="00F61BB6">
        <w:rPr>
          <w:bCs/>
        </w:rPr>
        <w:t xml:space="preserve"> definition identifie</w:t>
      </w:r>
      <w:r w:rsidR="00025574">
        <w:rPr>
          <w:bCs/>
        </w:rPr>
        <w:t>s</w:t>
      </w:r>
      <w:r w:rsidR="00F61BB6">
        <w:rPr>
          <w:bCs/>
        </w:rPr>
        <w:t xml:space="preserve"> the target activities </w:t>
      </w:r>
      <w:r w:rsidR="00DA2A95">
        <w:rPr>
          <w:bCs/>
        </w:rPr>
        <w:t xml:space="preserve">of the proposed new </w:t>
      </w:r>
      <w:r w:rsidR="00F61BB6">
        <w:rPr>
          <w:bCs/>
        </w:rPr>
        <w:t xml:space="preserve">Standard; that is, </w:t>
      </w:r>
      <w:r w:rsidR="008B79AB">
        <w:rPr>
          <w:bCs/>
        </w:rPr>
        <w:t xml:space="preserve">activities related to the </w:t>
      </w:r>
      <w:r w:rsidR="00F44B71">
        <w:rPr>
          <w:bCs/>
        </w:rPr>
        <w:t xml:space="preserve">handling </w:t>
      </w:r>
      <w:r w:rsidR="008B79AB">
        <w:rPr>
          <w:bCs/>
        </w:rPr>
        <w:t xml:space="preserve">of </w:t>
      </w:r>
      <w:r w:rsidR="00F44B71">
        <w:rPr>
          <w:bCs/>
        </w:rPr>
        <w:t xml:space="preserve">potentially hazardous </w:t>
      </w:r>
      <w:r w:rsidR="00346579">
        <w:rPr>
          <w:bCs/>
        </w:rPr>
        <w:t xml:space="preserve">food </w:t>
      </w:r>
      <w:r w:rsidR="00F44B71">
        <w:rPr>
          <w:bCs/>
        </w:rPr>
        <w:t xml:space="preserve">at a stage where </w:t>
      </w:r>
      <w:r>
        <w:rPr>
          <w:bCs/>
        </w:rPr>
        <w:t xml:space="preserve">there is no further step before consumption of the food that would destroy any pathogens present in the food. </w:t>
      </w:r>
    </w:p>
    <w:p w14:paraId="3CD12492" w14:textId="645642BD" w:rsidR="002F38DD" w:rsidRDefault="002F38DD" w:rsidP="00F84A9E">
      <w:pPr>
        <w:spacing w:after="240"/>
        <w:rPr>
          <w:bCs/>
        </w:rPr>
      </w:pPr>
      <w:r>
        <w:rPr>
          <w:bCs/>
        </w:rPr>
        <w:t>Engagement by a food business in one of the above prescribed activities triggers the requirements in proposed sections 3.2.2A—10, 3.2.2A—11 and 3.2.2A—12 (see below), depending on whether the food business is a category one or two business (see proposed sections 3.2.2A—</w:t>
      </w:r>
      <w:r w:rsidR="001B200F">
        <w:rPr>
          <w:bCs/>
        </w:rPr>
        <w:t>8</w:t>
      </w:r>
      <w:r>
        <w:rPr>
          <w:bCs/>
        </w:rPr>
        <w:t xml:space="preserve"> and 3.2.2A—</w:t>
      </w:r>
      <w:r w:rsidR="001B200F">
        <w:rPr>
          <w:bCs/>
        </w:rPr>
        <w:t>9</w:t>
      </w:r>
      <w:r>
        <w:rPr>
          <w:bCs/>
        </w:rPr>
        <w:t xml:space="preserve"> below)</w:t>
      </w:r>
      <w:r w:rsidRPr="00D97447">
        <w:rPr>
          <w:bCs/>
        </w:rPr>
        <w:t>.</w:t>
      </w:r>
      <w:r>
        <w:rPr>
          <w:bCs/>
        </w:rPr>
        <w:t xml:space="preserve"> </w:t>
      </w:r>
    </w:p>
    <w:p w14:paraId="30FB8427" w14:textId="65065454" w:rsidR="000C24E5" w:rsidRDefault="00FD342E" w:rsidP="00F84A9E">
      <w:pPr>
        <w:tabs>
          <w:tab w:val="left" w:pos="720"/>
          <w:tab w:val="left" w:pos="851"/>
        </w:tabs>
        <w:spacing w:before="60" w:after="240"/>
        <w:rPr>
          <w:bCs/>
          <w:kern w:val="32"/>
        </w:rPr>
      </w:pPr>
      <w:r>
        <w:rPr>
          <w:b/>
          <w:bCs/>
          <w:kern w:val="32"/>
        </w:rPr>
        <w:t>Section</w:t>
      </w:r>
      <w:r>
        <w:rPr>
          <w:bCs/>
          <w:kern w:val="32"/>
        </w:rPr>
        <w:t xml:space="preserve"> </w:t>
      </w:r>
      <w:r w:rsidRPr="009975EA">
        <w:rPr>
          <w:b/>
          <w:bCs/>
          <w:kern w:val="32"/>
        </w:rPr>
        <w:t>3.2.2A—</w:t>
      </w:r>
      <w:r>
        <w:rPr>
          <w:b/>
          <w:bCs/>
          <w:kern w:val="32"/>
        </w:rPr>
        <w:t xml:space="preserve">6 </w:t>
      </w:r>
      <w:r w:rsidR="000C24E5" w:rsidRPr="000113D3">
        <w:rPr>
          <w:bCs/>
          <w:kern w:val="32"/>
        </w:rPr>
        <w:t>sets out the definition of a ‘category one business’</w:t>
      </w:r>
      <w:r w:rsidR="008B7223">
        <w:rPr>
          <w:bCs/>
          <w:kern w:val="32"/>
        </w:rPr>
        <w:t xml:space="preserve"> for the purposes of proposed </w:t>
      </w:r>
      <w:r w:rsidR="002D7170">
        <w:rPr>
          <w:bCs/>
          <w:kern w:val="32"/>
        </w:rPr>
        <w:t xml:space="preserve">new </w:t>
      </w:r>
      <w:r w:rsidR="008B7223">
        <w:rPr>
          <w:bCs/>
          <w:kern w:val="32"/>
        </w:rPr>
        <w:t>Standard 3.2.2A</w:t>
      </w:r>
      <w:r w:rsidR="000C24E5" w:rsidRPr="000113D3">
        <w:rPr>
          <w:bCs/>
          <w:kern w:val="32"/>
        </w:rPr>
        <w:t>.</w:t>
      </w:r>
    </w:p>
    <w:p w14:paraId="7123CAB7" w14:textId="4F73C0EA" w:rsidR="008B7223" w:rsidRPr="008B7223" w:rsidRDefault="00F63DF3" w:rsidP="008B7223">
      <w:pPr>
        <w:tabs>
          <w:tab w:val="left" w:pos="720"/>
          <w:tab w:val="left" w:pos="851"/>
        </w:tabs>
        <w:spacing w:before="60" w:after="240"/>
        <w:rPr>
          <w:bCs/>
          <w:kern w:val="32"/>
        </w:rPr>
      </w:pPr>
      <w:r w:rsidRPr="003E7972">
        <w:rPr>
          <w:b/>
          <w:bCs/>
          <w:kern w:val="32"/>
        </w:rPr>
        <w:t>Proposed section 3.2.2A—</w:t>
      </w:r>
      <w:r w:rsidR="00F408EF">
        <w:rPr>
          <w:b/>
          <w:bCs/>
          <w:kern w:val="32"/>
        </w:rPr>
        <w:t>6</w:t>
      </w:r>
      <w:r>
        <w:rPr>
          <w:b/>
          <w:bCs/>
          <w:kern w:val="32"/>
        </w:rPr>
        <w:t xml:space="preserve"> </w:t>
      </w:r>
      <w:r w:rsidRPr="00F63DF3">
        <w:rPr>
          <w:bCs/>
          <w:kern w:val="32"/>
        </w:rPr>
        <w:t>provides that</w:t>
      </w:r>
      <w:r w:rsidRPr="003E7972">
        <w:rPr>
          <w:bCs/>
          <w:kern w:val="32"/>
        </w:rPr>
        <w:t xml:space="preserve"> </w:t>
      </w:r>
      <w:r>
        <w:rPr>
          <w:bCs/>
          <w:kern w:val="32"/>
        </w:rPr>
        <w:t xml:space="preserve">a </w:t>
      </w:r>
      <w:r w:rsidR="00F73F0E">
        <w:rPr>
          <w:bCs/>
          <w:kern w:val="32"/>
        </w:rPr>
        <w:t>‘</w:t>
      </w:r>
      <w:r w:rsidR="008B7223" w:rsidRPr="00F73F0E">
        <w:rPr>
          <w:bCs/>
          <w:kern w:val="32"/>
        </w:rPr>
        <w:t>category one business</w:t>
      </w:r>
      <w:r w:rsidR="00F73F0E">
        <w:rPr>
          <w:bCs/>
          <w:kern w:val="32"/>
        </w:rPr>
        <w:t>’</w:t>
      </w:r>
      <w:r w:rsidR="008B7223" w:rsidRPr="008B7223">
        <w:rPr>
          <w:bCs/>
          <w:kern w:val="32"/>
        </w:rPr>
        <w:t xml:space="preserve"> means a food business that:</w:t>
      </w:r>
    </w:p>
    <w:p w14:paraId="0524AF97" w14:textId="6BC041E6" w:rsidR="008B7223" w:rsidRPr="000113D3" w:rsidRDefault="002252F4" w:rsidP="000113D3">
      <w:pPr>
        <w:pStyle w:val="ListParagraph"/>
        <w:numPr>
          <w:ilvl w:val="0"/>
          <w:numId w:val="60"/>
        </w:numPr>
        <w:tabs>
          <w:tab w:val="left" w:pos="720"/>
          <w:tab w:val="left" w:pos="851"/>
        </w:tabs>
        <w:spacing w:before="60" w:after="240"/>
        <w:rPr>
          <w:bCs/>
          <w:kern w:val="32"/>
        </w:rPr>
      </w:pPr>
      <w:r w:rsidRPr="002252F4">
        <w:rPr>
          <w:bCs/>
          <w:kern w:val="32"/>
        </w:rPr>
        <w:t xml:space="preserve">is a </w:t>
      </w:r>
      <w:r w:rsidR="008B7223" w:rsidRPr="000113D3">
        <w:rPr>
          <w:bCs/>
          <w:kern w:val="32"/>
        </w:rPr>
        <w:t>caterer or a food service; and</w:t>
      </w:r>
    </w:p>
    <w:p w14:paraId="6B70F6EA" w14:textId="51B3C9D8" w:rsidR="008B7223" w:rsidRPr="000113D3" w:rsidRDefault="008B7223" w:rsidP="000113D3">
      <w:pPr>
        <w:pStyle w:val="ListParagraph"/>
        <w:numPr>
          <w:ilvl w:val="0"/>
          <w:numId w:val="60"/>
        </w:numPr>
        <w:tabs>
          <w:tab w:val="left" w:pos="720"/>
          <w:tab w:val="left" w:pos="851"/>
        </w:tabs>
        <w:spacing w:before="60" w:after="240"/>
        <w:rPr>
          <w:bCs/>
          <w:kern w:val="32"/>
        </w:rPr>
      </w:pPr>
      <w:r w:rsidRPr="000113D3">
        <w:rPr>
          <w:bCs/>
          <w:kern w:val="32"/>
        </w:rPr>
        <w:t>processes unpackaged potentially hazardous food</w:t>
      </w:r>
      <w:r w:rsidR="00A96534">
        <w:rPr>
          <w:bCs/>
          <w:kern w:val="32"/>
        </w:rPr>
        <w:t xml:space="preserve"> </w:t>
      </w:r>
      <w:r w:rsidRPr="000113D3">
        <w:rPr>
          <w:bCs/>
          <w:kern w:val="32"/>
        </w:rPr>
        <w:t>into a food that is:</w:t>
      </w:r>
    </w:p>
    <w:p w14:paraId="67BD5EA6" w14:textId="401BCDA9" w:rsidR="008B7223" w:rsidRPr="000113D3" w:rsidRDefault="008B7223" w:rsidP="000113D3">
      <w:pPr>
        <w:pStyle w:val="ListParagraph"/>
        <w:numPr>
          <w:ilvl w:val="0"/>
          <w:numId w:val="61"/>
        </w:numPr>
        <w:tabs>
          <w:tab w:val="left" w:pos="720"/>
          <w:tab w:val="left" w:pos="851"/>
        </w:tabs>
        <w:spacing w:before="60" w:after="240"/>
        <w:ind w:firstLine="131"/>
        <w:rPr>
          <w:bCs/>
          <w:kern w:val="32"/>
        </w:rPr>
      </w:pPr>
      <w:r w:rsidRPr="000113D3">
        <w:rPr>
          <w:bCs/>
          <w:kern w:val="32"/>
        </w:rPr>
        <w:t>potentially hazardous food; and</w:t>
      </w:r>
    </w:p>
    <w:p w14:paraId="0C5B8BA4" w14:textId="1233AC1E" w:rsidR="000C24E5" w:rsidRPr="000113D3" w:rsidRDefault="008B7223" w:rsidP="000113D3">
      <w:pPr>
        <w:pStyle w:val="ListParagraph"/>
        <w:numPr>
          <w:ilvl w:val="0"/>
          <w:numId w:val="61"/>
        </w:numPr>
        <w:tabs>
          <w:tab w:val="left" w:pos="720"/>
          <w:tab w:val="left" w:pos="851"/>
        </w:tabs>
        <w:spacing w:before="60" w:after="240"/>
        <w:ind w:firstLine="131"/>
        <w:rPr>
          <w:bCs/>
          <w:kern w:val="32"/>
        </w:rPr>
      </w:pPr>
      <w:r w:rsidRPr="000113D3">
        <w:rPr>
          <w:bCs/>
          <w:kern w:val="32"/>
        </w:rPr>
        <w:t>ready-to-eat food.</w:t>
      </w:r>
    </w:p>
    <w:p w14:paraId="24DDCA45" w14:textId="2309E1AC" w:rsidR="00661CB9" w:rsidRDefault="00661CB9" w:rsidP="00F84A9E">
      <w:pPr>
        <w:tabs>
          <w:tab w:val="left" w:pos="720"/>
          <w:tab w:val="left" w:pos="851"/>
        </w:tabs>
        <w:spacing w:before="60" w:after="240"/>
        <w:rPr>
          <w:bCs/>
          <w:kern w:val="32"/>
        </w:rPr>
      </w:pPr>
      <w:r>
        <w:t xml:space="preserve">‘Food business’ is defined in clause 2 of Standard 3.3.1. ‘Caterer’ is defined in </w:t>
      </w:r>
      <w:r>
        <w:rPr>
          <w:bCs/>
          <w:kern w:val="32"/>
        </w:rPr>
        <w:t xml:space="preserve">section 1.1.2—2 of the Code. </w:t>
      </w:r>
      <w:r w:rsidR="00AD4D71">
        <w:rPr>
          <w:bCs/>
          <w:kern w:val="32"/>
        </w:rPr>
        <w:t>‘</w:t>
      </w:r>
      <w:r>
        <w:rPr>
          <w:bCs/>
        </w:rPr>
        <w:t>P</w:t>
      </w:r>
      <w:r w:rsidRPr="00BE604C">
        <w:rPr>
          <w:bCs/>
        </w:rPr>
        <w:t>otentially hazardous food</w:t>
      </w:r>
      <w:r>
        <w:rPr>
          <w:bCs/>
        </w:rPr>
        <w:t>’</w:t>
      </w:r>
      <w:r w:rsidR="00F135ED">
        <w:rPr>
          <w:bCs/>
        </w:rPr>
        <w:t xml:space="preserve">, </w:t>
      </w:r>
      <w:r w:rsidR="00AD4D71">
        <w:rPr>
          <w:bCs/>
        </w:rPr>
        <w:t>‘process’ in relation to food</w:t>
      </w:r>
      <w:r w:rsidR="00F135ED">
        <w:rPr>
          <w:bCs/>
        </w:rPr>
        <w:t xml:space="preserve">, </w:t>
      </w:r>
      <w:r w:rsidR="00F135ED">
        <w:rPr>
          <w:bCs/>
        </w:rPr>
        <w:lastRenderedPageBreak/>
        <w:t>and ‘</w:t>
      </w:r>
      <w:r w:rsidR="00F135ED" w:rsidRPr="00BE604C">
        <w:rPr>
          <w:bCs/>
        </w:rPr>
        <w:t>ready-to-eat food</w:t>
      </w:r>
      <w:r w:rsidR="00F135ED">
        <w:rPr>
          <w:bCs/>
        </w:rPr>
        <w:t>’</w:t>
      </w:r>
      <w:r w:rsidR="00AD4D71">
        <w:rPr>
          <w:bCs/>
        </w:rPr>
        <w:t xml:space="preserve"> are</w:t>
      </w:r>
      <w:r>
        <w:rPr>
          <w:bCs/>
        </w:rPr>
        <w:t xml:space="preserve"> defined in proposed section 3.2.2A—2 (see above).</w:t>
      </w:r>
      <w:r w:rsidR="00F73F0E">
        <w:rPr>
          <w:bCs/>
        </w:rPr>
        <w:t xml:space="preserve"> The meaning of ‘food service’ is set out in proposed </w:t>
      </w:r>
      <w:r w:rsidR="00F73F0E">
        <w:rPr>
          <w:bCs/>
          <w:kern w:val="32"/>
        </w:rPr>
        <w:t>section 3.2.2A—4 (see above)</w:t>
      </w:r>
    </w:p>
    <w:p w14:paraId="2660D1C1" w14:textId="0AC4CDFD" w:rsidR="00FD342E" w:rsidRDefault="00FD342E" w:rsidP="00F84A9E">
      <w:pPr>
        <w:tabs>
          <w:tab w:val="left" w:pos="720"/>
          <w:tab w:val="left" w:pos="851"/>
        </w:tabs>
        <w:spacing w:before="60" w:after="240"/>
        <w:rPr>
          <w:bCs/>
          <w:kern w:val="32"/>
        </w:rPr>
      </w:pPr>
      <w:r w:rsidRPr="005579B0">
        <w:rPr>
          <w:bCs/>
          <w:kern w:val="32"/>
        </w:rPr>
        <w:t xml:space="preserve">Examples </w:t>
      </w:r>
      <w:r w:rsidR="00983182">
        <w:rPr>
          <w:bCs/>
          <w:kern w:val="32"/>
        </w:rPr>
        <w:t xml:space="preserve">of category one businesses </w:t>
      </w:r>
      <w:r w:rsidRPr="005579B0">
        <w:rPr>
          <w:bCs/>
          <w:kern w:val="32"/>
        </w:rPr>
        <w:t>are restaurant</w:t>
      </w:r>
      <w:r w:rsidR="00983182">
        <w:rPr>
          <w:bCs/>
          <w:kern w:val="32"/>
        </w:rPr>
        <w:t>s</w:t>
      </w:r>
      <w:r w:rsidRPr="005579B0">
        <w:rPr>
          <w:bCs/>
          <w:kern w:val="32"/>
        </w:rPr>
        <w:t>, fast food outlet</w:t>
      </w:r>
      <w:r w:rsidR="00983182">
        <w:rPr>
          <w:bCs/>
          <w:kern w:val="32"/>
        </w:rPr>
        <w:t>s</w:t>
      </w:r>
      <w:r w:rsidRPr="005579B0">
        <w:rPr>
          <w:bCs/>
          <w:kern w:val="32"/>
        </w:rPr>
        <w:t xml:space="preserve">, </w:t>
      </w:r>
      <w:r w:rsidR="00983182">
        <w:rPr>
          <w:bCs/>
          <w:kern w:val="32"/>
        </w:rPr>
        <w:t xml:space="preserve">and </w:t>
      </w:r>
      <w:r w:rsidR="00983182" w:rsidRPr="005579B0">
        <w:rPr>
          <w:bCs/>
          <w:kern w:val="32"/>
        </w:rPr>
        <w:t>catere</w:t>
      </w:r>
      <w:r w:rsidR="00983182">
        <w:rPr>
          <w:bCs/>
          <w:kern w:val="32"/>
        </w:rPr>
        <w:t>rs</w:t>
      </w:r>
      <w:r w:rsidR="00983182" w:rsidRPr="005579B0">
        <w:rPr>
          <w:bCs/>
          <w:kern w:val="32"/>
        </w:rPr>
        <w:t xml:space="preserve"> </w:t>
      </w:r>
      <w:r w:rsidRPr="005579B0">
        <w:rPr>
          <w:bCs/>
          <w:kern w:val="32"/>
        </w:rPr>
        <w:t>c</w:t>
      </w:r>
      <w:r>
        <w:rPr>
          <w:bCs/>
          <w:kern w:val="32"/>
        </w:rPr>
        <w:t xml:space="preserve">atering </w:t>
      </w:r>
      <w:r w:rsidR="00983182">
        <w:rPr>
          <w:bCs/>
          <w:kern w:val="32"/>
        </w:rPr>
        <w:t xml:space="preserve">food </w:t>
      </w:r>
      <w:r>
        <w:rPr>
          <w:bCs/>
          <w:kern w:val="32"/>
        </w:rPr>
        <w:t xml:space="preserve">for a function or event. </w:t>
      </w:r>
    </w:p>
    <w:p w14:paraId="6B5BAAEF" w14:textId="45E7A17F" w:rsidR="00FD342E" w:rsidRDefault="00F73F0E" w:rsidP="00F84A9E">
      <w:pPr>
        <w:tabs>
          <w:tab w:val="left" w:pos="720"/>
          <w:tab w:val="left" w:pos="851"/>
        </w:tabs>
        <w:spacing w:before="60" w:after="240"/>
      </w:pPr>
      <w:r>
        <w:rPr>
          <w:bCs/>
          <w:kern w:val="32"/>
        </w:rPr>
        <w:t>An e</w:t>
      </w:r>
      <w:r w:rsidR="00983182">
        <w:rPr>
          <w:bCs/>
          <w:kern w:val="32"/>
        </w:rPr>
        <w:t xml:space="preserve">xample </w:t>
      </w:r>
      <w:r>
        <w:rPr>
          <w:bCs/>
          <w:kern w:val="32"/>
        </w:rPr>
        <w:t xml:space="preserve">of a category one business </w:t>
      </w:r>
      <w:r w:rsidR="00FD342E">
        <w:rPr>
          <w:bCs/>
          <w:kern w:val="32"/>
        </w:rPr>
        <w:t xml:space="preserve">would also include </w:t>
      </w:r>
      <w:r w:rsidR="00983182">
        <w:rPr>
          <w:bCs/>
          <w:kern w:val="32"/>
        </w:rPr>
        <w:t xml:space="preserve">a </w:t>
      </w:r>
      <w:r w:rsidR="00FD342E">
        <w:rPr>
          <w:bCs/>
          <w:kern w:val="32"/>
        </w:rPr>
        <w:t>business such as a bakery that make</w:t>
      </w:r>
      <w:r w:rsidR="00983182">
        <w:rPr>
          <w:bCs/>
          <w:kern w:val="32"/>
        </w:rPr>
        <w:t>s</w:t>
      </w:r>
      <w:r w:rsidR="00FD342E">
        <w:rPr>
          <w:bCs/>
          <w:kern w:val="32"/>
        </w:rPr>
        <w:t xml:space="preserve"> </w:t>
      </w:r>
      <w:r w:rsidR="00983182">
        <w:rPr>
          <w:bCs/>
          <w:kern w:val="32"/>
        </w:rPr>
        <w:t xml:space="preserve">its </w:t>
      </w:r>
      <w:r w:rsidR="00FD342E">
        <w:rPr>
          <w:bCs/>
          <w:kern w:val="32"/>
        </w:rPr>
        <w:t xml:space="preserve">own potentially hazardous food, such as a custard tart or </w:t>
      </w:r>
      <w:r w:rsidR="00FD342E">
        <w:t>quiche.</w:t>
      </w:r>
    </w:p>
    <w:p w14:paraId="36B97A27" w14:textId="333841E4" w:rsidR="00FD342E" w:rsidRPr="009975EA" w:rsidRDefault="00B45CAE" w:rsidP="00F84A9E">
      <w:pPr>
        <w:tabs>
          <w:tab w:val="left" w:pos="720"/>
          <w:tab w:val="left" w:pos="851"/>
        </w:tabs>
        <w:spacing w:before="60" w:after="240"/>
        <w:rPr>
          <w:bCs/>
          <w:kern w:val="32"/>
        </w:rPr>
      </w:pPr>
      <w:r>
        <w:rPr>
          <w:bCs/>
          <w:kern w:val="32"/>
        </w:rPr>
        <w:t>It is intended that t</w:t>
      </w:r>
      <w:r w:rsidR="00983182">
        <w:rPr>
          <w:bCs/>
          <w:kern w:val="32"/>
        </w:rPr>
        <w:t xml:space="preserve">he proposed definition of a ‘category one business’ </w:t>
      </w:r>
      <w:r w:rsidR="00F73F0E">
        <w:rPr>
          <w:bCs/>
          <w:kern w:val="32"/>
        </w:rPr>
        <w:t xml:space="preserve">would </w:t>
      </w:r>
      <w:r w:rsidR="00FD342E">
        <w:rPr>
          <w:bCs/>
          <w:kern w:val="32"/>
        </w:rPr>
        <w:t xml:space="preserve">also capture a business that makes and then sells </w:t>
      </w:r>
      <w:r w:rsidR="00FB5DDF">
        <w:rPr>
          <w:bCs/>
          <w:kern w:val="32"/>
        </w:rPr>
        <w:t>‘</w:t>
      </w:r>
      <w:r w:rsidR="00FD342E">
        <w:rPr>
          <w:bCs/>
          <w:kern w:val="32"/>
        </w:rPr>
        <w:t>ready-to-eat food</w:t>
      </w:r>
      <w:r w:rsidR="00FB5DDF">
        <w:rPr>
          <w:bCs/>
          <w:kern w:val="32"/>
        </w:rPr>
        <w:t>’</w:t>
      </w:r>
      <w:r w:rsidR="00FD342E">
        <w:rPr>
          <w:bCs/>
          <w:kern w:val="32"/>
        </w:rPr>
        <w:t xml:space="preserve"> to another business, for example a food business which sells premade sandwiches to a café.</w:t>
      </w:r>
    </w:p>
    <w:p w14:paraId="09AC8896" w14:textId="3CD70EB7" w:rsidR="009D16EE" w:rsidRDefault="00FD342E" w:rsidP="00F84A9E">
      <w:pPr>
        <w:tabs>
          <w:tab w:val="left" w:pos="720"/>
          <w:tab w:val="left" w:pos="851"/>
        </w:tabs>
        <w:spacing w:before="60" w:after="240"/>
        <w:rPr>
          <w:bCs/>
          <w:kern w:val="32"/>
        </w:rPr>
      </w:pPr>
      <w:r>
        <w:rPr>
          <w:b/>
          <w:bCs/>
          <w:kern w:val="32"/>
        </w:rPr>
        <w:t xml:space="preserve">Section </w:t>
      </w:r>
      <w:r w:rsidRPr="009975EA">
        <w:rPr>
          <w:b/>
          <w:bCs/>
          <w:kern w:val="32"/>
        </w:rPr>
        <w:t>3.2.2A—</w:t>
      </w:r>
      <w:r>
        <w:rPr>
          <w:b/>
          <w:bCs/>
          <w:kern w:val="32"/>
        </w:rPr>
        <w:t xml:space="preserve">7 </w:t>
      </w:r>
      <w:r w:rsidR="009D16EE" w:rsidRPr="00D97447">
        <w:rPr>
          <w:bCs/>
          <w:kern w:val="32"/>
        </w:rPr>
        <w:t xml:space="preserve">sets out the definition of a ‘category </w:t>
      </w:r>
      <w:r w:rsidR="009D16EE">
        <w:rPr>
          <w:bCs/>
          <w:kern w:val="32"/>
        </w:rPr>
        <w:t>two</w:t>
      </w:r>
      <w:r w:rsidR="009D16EE" w:rsidRPr="00D97447">
        <w:rPr>
          <w:bCs/>
          <w:kern w:val="32"/>
        </w:rPr>
        <w:t xml:space="preserve"> business’</w:t>
      </w:r>
      <w:r w:rsidR="009D16EE">
        <w:rPr>
          <w:bCs/>
          <w:kern w:val="32"/>
        </w:rPr>
        <w:t xml:space="preserve"> for the purposes of proposed </w:t>
      </w:r>
      <w:r w:rsidR="00B45CAE">
        <w:rPr>
          <w:bCs/>
          <w:kern w:val="32"/>
        </w:rPr>
        <w:t xml:space="preserve">new </w:t>
      </w:r>
      <w:r w:rsidR="009D16EE">
        <w:rPr>
          <w:bCs/>
          <w:kern w:val="32"/>
        </w:rPr>
        <w:t>Standard 3.2.2A</w:t>
      </w:r>
      <w:r w:rsidR="009D16EE" w:rsidRPr="00D97447">
        <w:rPr>
          <w:bCs/>
          <w:kern w:val="32"/>
        </w:rPr>
        <w:t>.</w:t>
      </w:r>
    </w:p>
    <w:p w14:paraId="18C6DFA9" w14:textId="3A994972" w:rsidR="003C17C4" w:rsidRPr="003C17C4" w:rsidRDefault="000E2BD4" w:rsidP="003C17C4">
      <w:pPr>
        <w:tabs>
          <w:tab w:val="left" w:pos="720"/>
          <w:tab w:val="left" w:pos="851"/>
        </w:tabs>
        <w:spacing w:after="240"/>
        <w:rPr>
          <w:bCs/>
          <w:iCs/>
          <w:kern w:val="32"/>
        </w:rPr>
      </w:pPr>
      <w:r w:rsidRPr="003E7972">
        <w:rPr>
          <w:b/>
          <w:bCs/>
          <w:kern w:val="32"/>
        </w:rPr>
        <w:t>Proposed section 3.2.2A—</w:t>
      </w:r>
      <w:r>
        <w:rPr>
          <w:b/>
          <w:bCs/>
          <w:kern w:val="32"/>
        </w:rPr>
        <w:t>7</w:t>
      </w:r>
      <w:r w:rsidRPr="003E7972">
        <w:rPr>
          <w:bCs/>
          <w:kern w:val="32"/>
        </w:rPr>
        <w:t xml:space="preserve"> provides that a</w:t>
      </w:r>
      <w:r w:rsidR="00CE1E77" w:rsidRPr="008B7223">
        <w:rPr>
          <w:bCs/>
          <w:kern w:val="32"/>
        </w:rPr>
        <w:t xml:space="preserve"> </w:t>
      </w:r>
      <w:r w:rsidR="00FC3470">
        <w:rPr>
          <w:bCs/>
          <w:kern w:val="32"/>
        </w:rPr>
        <w:t>‘</w:t>
      </w:r>
      <w:r w:rsidR="00CE1E77" w:rsidRPr="00FC3470">
        <w:rPr>
          <w:bCs/>
          <w:kern w:val="32"/>
        </w:rPr>
        <w:t>category two business</w:t>
      </w:r>
      <w:r w:rsidR="00FC3470">
        <w:rPr>
          <w:bCs/>
          <w:kern w:val="32"/>
        </w:rPr>
        <w:t>’</w:t>
      </w:r>
      <w:r w:rsidR="00CE1E77" w:rsidRPr="008B7223">
        <w:rPr>
          <w:bCs/>
          <w:kern w:val="32"/>
        </w:rPr>
        <w:t xml:space="preserve"> means a food business that</w:t>
      </w:r>
      <w:r w:rsidR="003C17C4">
        <w:rPr>
          <w:bCs/>
          <w:kern w:val="32"/>
        </w:rPr>
        <w:t xml:space="preserve"> </w:t>
      </w:r>
      <w:r w:rsidR="003C17C4" w:rsidRPr="003C17C4">
        <w:rPr>
          <w:bCs/>
          <w:iCs/>
          <w:kern w:val="32"/>
        </w:rPr>
        <w:t>offers for retail sale a food that is</w:t>
      </w:r>
      <w:r w:rsidR="003C17C4" w:rsidRPr="003C17C4">
        <w:rPr>
          <w:bCs/>
          <w:iCs/>
          <w:kern w:val="32"/>
          <w:lang w:val="en-AU"/>
        </w:rPr>
        <w:t>:</w:t>
      </w:r>
    </w:p>
    <w:p w14:paraId="207F1C74" w14:textId="339B25E9" w:rsidR="003C17C4" w:rsidRPr="000113D3" w:rsidRDefault="003C17C4" w:rsidP="000113D3">
      <w:pPr>
        <w:pStyle w:val="ListParagraph"/>
        <w:numPr>
          <w:ilvl w:val="0"/>
          <w:numId w:val="63"/>
        </w:numPr>
        <w:tabs>
          <w:tab w:val="left" w:pos="720"/>
          <w:tab w:val="left" w:pos="851"/>
        </w:tabs>
        <w:spacing w:before="60" w:after="240"/>
        <w:rPr>
          <w:bCs/>
          <w:iCs/>
          <w:kern w:val="32"/>
        </w:rPr>
      </w:pPr>
      <w:r w:rsidRPr="000113D3">
        <w:rPr>
          <w:bCs/>
          <w:iCs/>
          <w:kern w:val="32"/>
        </w:rPr>
        <w:t>potentially hazardous food; and</w:t>
      </w:r>
    </w:p>
    <w:p w14:paraId="4773619C" w14:textId="419C0B05" w:rsidR="003C17C4" w:rsidRPr="000113D3" w:rsidRDefault="003C17C4" w:rsidP="000113D3">
      <w:pPr>
        <w:pStyle w:val="ListParagraph"/>
        <w:numPr>
          <w:ilvl w:val="0"/>
          <w:numId w:val="63"/>
        </w:numPr>
        <w:tabs>
          <w:tab w:val="left" w:pos="720"/>
          <w:tab w:val="left" w:pos="851"/>
        </w:tabs>
        <w:spacing w:before="60" w:after="240"/>
        <w:rPr>
          <w:bCs/>
          <w:iCs/>
          <w:kern w:val="32"/>
        </w:rPr>
      </w:pPr>
      <w:r w:rsidRPr="000113D3">
        <w:rPr>
          <w:bCs/>
          <w:iCs/>
          <w:kern w:val="32"/>
        </w:rPr>
        <w:t>ready-to-eat food</w:t>
      </w:r>
      <w:r w:rsidRPr="000113D3">
        <w:rPr>
          <w:bCs/>
          <w:iCs/>
          <w:kern w:val="32"/>
          <w:lang w:val="en-AU"/>
        </w:rPr>
        <w:t>; and</w:t>
      </w:r>
    </w:p>
    <w:p w14:paraId="307484D9" w14:textId="51FA5DF1" w:rsidR="003C17C4" w:rsidRPr="003C17C4" w:rsidRDefault="003C17C4" w:rsidP="003C17C4">
      <w:pPr>
        <w:tabs>
          <w:tab w:val="left" w:pos="720"/>
          <w:tab w:val="left" w:pos="851"/>
        </w:tabs>
        <w:spacing w:before="60" w:after="240"/>
        <w:rPr>
          <w:bCs/>
          <w:iCs/>
          <w:kern w:val="32"/>
        </w:rPr>
      </w:pPr>
      <w:r w:rsidRPr="003C17C4">
        <w:rPr>
          <w:bCs/>
          <w:iCs/>
          <w:kern w:val="32"/>
          <w:lang w:val="en-AU"/>
        </w:rPr>
        <w:t>where that food:</w:t>
      </w:r>
    </w:p>
    <w:p w14:paraId="0119573F" w14:textId="5D9F9A40" w:rsidR="003C17C4" w:rsidRPr="000113D3" w:rsidRDefault="003C17C4" w:rsidP="000113D3">
      <w:pPr>
        <w:pStyle w:val="ListParagraph"/>
        <w:numPr>
          <w:ilvl w:val="0"/>
          <w:numId w:val="64"/>
        </w:numPr>
        <w:tabs>
          <w:tab w:val="left" w:pos="720"/>
          <w:tab w:val="left" w:pos="851"/>
        </w:tabs>
        <w:spacing w:before="60" w:after="240"/>
        <w:rPr>
          <w:bCs/>
          <w:iCs/>
          <w:kern w:val="32"/>
        </w:rPr>
      </w:pPr>
      <w:r w:rsidRPr="000113D3">
        <w:rPr>
          <w:bCs/>
          <w:iCs/>
          <w:kern w:val="32"/>
        </w:rPr>
        <w:t xml:space="preserve">was received unpackaged by the food business </w:t>
      </w:r>
      <w:r w:rsidRPr="000113D3">
        <w:rPr>
          <w:bCs/>
          <w:kern w:val="32"/>
        </w:rPr>
        <w:t>or was unpackaged by the food business after receipt; and</w:t>
      </w:r>
    </w:p>
    <w:p w14:paraId="4434BA44" w14:textId="50E0F4D8" w:rsidR="003C17C4" w:rsidRPr="000113D3" w:rsidRDefault="003C17C4" w:rsidP="000113D3">
      <w:pPr>
        <w:pStyle w:val="ListParagraph"/>
        <w:numPr>
          <w:ilvl w:val="0"/>
          <w:numId w:val="64"/>
        </w:numPr>
        <w:tabs>
          <w:tab w:val="left" w:pos="720"/>
          <w:tab w:val="left" w:pos="851"/>
        </w:tabs>
        <w:spacing w:before="60" w:after="240"/>
        <w:rPr>
          <w:bCs/>
          <w:iCs/>
          <w:kern w:val="32"/>
        </w:rPr>
      </w:pPr>
      <w:r w:rsidRPr="000113D3">
        <w:rPr>
          <w:bCs/>
          <w:iCs/>
          <w:kern w:val="32"/>
        </w:rPr>
        <w:t>was not made or processed (other than slicing, weighing, repacking, reheating or hot-holding the food) by the food business</w:t>
      </w:r>
      <w:r w:rsidR="00FC3470">
        <w:rPr>
          <w:bCs/>
          <w:iCs/>
          <w:kern w:val="32"/>
        </w:rPr>
        <w:t>.</w:t>
      </w:r>
    </w:p>
    <w:p w14:paraId="57858A3D" w14:textId="5CC4618B" w:rsidR="002C081A" w:rsidRDefault="002C081A" w:rsidP="00F84A9E">
      <w:pPr>
        <w:tabs>
          <w:tab w:val="left" w:pos="720"/>
          <w:tab w:val="left" w:pos="851"/>
        </w:tabs>
        <w:spacing w:before="60" w:after="240"/>
        <w:rPr>
          <w:bCs/>
          <w:kern w:val="32"/>
        </w:rPr>
      </w:pPr>
      <w:r>
        <w:t xml:space="preserve">‘Food business’ is defined in clause 2 of Standard 3.3.1. </w:t>
      </w:r>
      <w:r>
        <w:rPr>
          <w:bCs/>
          <w:kern w:val="32"/>
        </w:rPr>
        <w:t>‘</w:t>
      </w:r>
      <w:r>
        <w:rPr>
          <w:bCs/>
        </w:rPr>
        <w:t>P</w:t>
      </w:r>
      <w:r w:rsidRPr="00BE604C">
        <w:rPr>
          <w:bCs/>
        </w:rPr>
        <w:t>otentially hazardous food</w:t>
      </w:r>
      <w:r>
        <w:rPr>
          <w:bCs/>
        </w:rPr>
        <w:t>’, ‘process’ in relation to food, and ‘</w:t>
      </w:r>
      <w:r w:rsidRPr="00BE604C">
        <w:rPr>
          <w:bCs/>
        </w:rPr>
        <w:t>ready-to-eat food</w:t>
      </w:r>
      <w:r>
        <w:rPr>
          <w:bCs/>
        </w:rPr>
        <w:t>’ are defined in proposed section 3.2.2A—2 (see above).</w:t>
      </w:r>
    </w:p>
    <w:p w14:paraId="344142DA" w14:textId="1FFF3C74" w:rsidR="00FD342E" w:rsidRPr="00F84A9E" w:rsidRDefault="00FD342E" w:rsidP="00F84A9E">
      <w:pPr>
        <w:tabs>
          <w:tab w:val="left" w:pos="720"/>
          <w:tab w:val="left" w:pos="851"/>
        </w:tabs>
        <w:spacing w:before="60" w:after="240"/>
        <w:rPr>
          <w:bCs/>
          <w:kern w:val="32"/>
        </w:rPr>
      </w:pPr>
      <w:r>
        <w:rPr>
          <w:bCs/>
          <w:kern w:val="32"/>
        </w:rPr>
        <w:t xml:space="preserve">An example of a </w:t>
      </w:r>
      <w:r w:rsidR="00C43C3D">
        <w:rPr>
          <w:bCs/>
          <w:kern w:val="32"/>
        </w:rPr>
        <w:t>‘</w:t>
      </w:r>
      <w:r>
        <w:rPr>
          <w:bCs/>
          <w:kern w:val="32"/>
        </w:rPr>
        <w:t>category two business</w:t>
      </w:r>
      <w:r w:rsidR="00C43C3D">
        <w:rPr>
          <w:bCs/>
          <w:kern w:val="32"/>
        </w:rPr>
        <w:t>’</w:t>
      </w:r>
      <w:r>
        <w:rPr>
          <w:bCs/>
          <w:kern w:val="32"/>
        </w:rPr>
        <w:t xml:space="preserve"> is a retail store that sells unpackaged ham directly to a consumer, such as a delicatessen, even if the ham is wrapped by the </w:t>
      </w:r>
      <w:r>
        <w:rPr>
          <w:bCs/>
          <w:kern w:val="32"/>
        </w:rPr>
        <w:lastRenderedPageBreak/>
        <w:t xml:space="preserve">business before it is handed to a consumer. The business </w:t>
      </w:r>
      <w:r w:rsidR="00556B58">
        <w:rPr>
          <w:bCs/>
          <w:kern w:val="32"/>
        </w:rPr>
        <w:t xml:space="preserve">would be </w:t>
      </w:r>
      <w:r>
        <w:rPr>
          <w:bCs/>
          <w:kern w:val="32"/>
        </w:rPr>
        <w:t>able to do minimal processing, including slice, weigh, repack, reheat or hot-hold the food, and still be cla</w:t>
      </w:r>
      <w:r w:rsidR="00F84A9E">
        <w:rPr>
          <w:bCs/>
          <w:kern w:val="32"/>
        </w:rPr>
        <w:t xml:space="preserve">ssed as a category </w:t>
      </w:r>
      <w:r w:rsidR="00A04C61">
        <w:rPr>
          <w:bCs/>
          <w:kern w:val="32"/>
        </w:rPr>
        <w:t xml:space="preserve">two </w:t>
      </w:r>
      <w:r w:rsidR="00F84A9E">
        <w:rPr>
          <w:bCs/>
          <w:kern w:val="32"/>
        </w:rPr>
        <w:t xml:space="preserve">business. </w:t>
      </w:r>
    </w:p>
    <w:p w14:paraId="1B791567" w14:textId="1D404ED6" w:rsidR="00CE0C63" w:rsidRDefault="00FD342E" w:rsidP="00F84A9E">
      <w:pPr>
        <w:tabs>
          <w:tab w:val="left" w:pos="720"/>
          <w:tab w:val="left" w:pos="851"/>
        </w:tabs>
        <w:spacing w:before="60" w:after="240"/>
        <w:rPr>
          <w:bCs/>
          <w:kern w:val="32"/>
        </w:rPr>
      </w:pPr>
      <w:r>
        <w:rPr>
          <w:b/>
          <w:bCs/>
          <w:kern w:val="32"/>
        </w:rPr>
        <w:t>Section</w:t>
      </w:r>
      <w:r w:rsidRPr="009975EA">
        <w:rPr>
          <w:b/>
          <w:bCs/>
          <w:kern w:val="32"/>
        </w:rPr>
        <w:t xml:space="preserve"> 3.2.2A—</w:t>
      </w:r>
      <w:r>
        <w:rPr>
          <w:b/>
          <w:bCs/>
          <w:kern w:val="32"/>
        </w:rPr>
        <w:t>8</w:t>
      </w:r>
      <w:r w:rsidR="00FC252D">
        <w:rPr>
          <w:b/>
          <w:bCs/>
          <w:kern w:val="32"/>
        </w:rPr>
        <w:t xml:space="preserve"> </w:t>
      </w:r>
      <w:r w:rsidR="004C68F2">
        <w:rPr>
          <w:bCs/>
          <w:kern w:val="32"/>
        </w:rPr>
        <w:t>identifies</w:t>
      </w:r>
      <w:r w:rsidR="00CE0C63" w:rsidRPr="00FA0608">
        <w:rPr>
          <w:bCs/>
          <w:kern w:val="32"/>
        </w:rPr>
        <w:t xml:space="preserve"> </w:t>
      </w:r>
      <w:r>
        <w:rPr>
          <w:bCs/>
          <w:kern w:val="32"/>
        </w:rPr>
        <w:t xml:space="preserve">which </w:t>
      </w:r>
      <w:r w:rsidRPr="00FA0608">
        <w:rPr>
          <w:bCs/>
          <w:kern w:val="32"/>
        </w:rPr>
        <w:t xml:space="preserve">food safety management tools apply to </w:t>
      </w:r>
      <w:r>
        <w:rPr>
          <w:bCs/>
          <w:kern w:val="32"/>
        </w:rPr>
        <w:t xml:space="preserve">category one </w:t>
      </w:r>
      <w:r w:rsidRPr="00FA0608">
        <w:rPr>
          <w:bCs/>
          <w:kern w:val="32"/>
        </w:rPr>
        <w:t>business</w:t>
      </w:r>
      <w:r w:rsidR="00CE0C63">
        <w:rPr>
          <w:bCs/>
          <w:kern w:val="32"/>
        </w:rPr>
        <w:t>es</w:t>
      </w:r>
      <w:r>
        <w:rPr>
          <w:bCs/>
          <w:kern w:val="32"/>
        </w:rPr>
        <w:t>.</w:t>
      </w:r>
    </w:p>
    <w:p w14:paraId="786589D9" w14:textId="692BD98A" w:rsidR="00CE0C63" w:rsidRDefault="003E7972" w:rsidP="00F84A9E">
      <w:pPr>
        <w:tabs>
          <w:tab w:val="left" w:pos="720"/>
          <w:tab w:val="left" w:pos="851"/>
        </w:tabs>
        <w:spacing w:before="60" w:after="240"/>
        <w:rPr>
          <w:bCs/>
          <w:kern w:val="32"/>
        </w:rPr>
      </w:pPr>
      <w:r w:rsidRPr="003E7972">
        <w:rPr>
          <w:b/>
          <w:bCs/>
          <w:kern w:val="32"/>
        </w:rPr>
        <w:t>Proposed section 3.2.2A—8</w:t>
      </w:r>
      <w:r w:rsidRPr="003E7972">
        <w:rPr>
          <w:bCs/>
          <w:kern w:val="32"/>
        </w:rPr>
        <w:t xml:space="preserve"> provides that a</w:t>
      </w:r>
      <w:r w:rsidR="00CE0C63">
        <w:rPr>
          <w:bCs/>
          <w:kern w:val="32"/>
        </w:rPr>
        <w:t xml:space="preserve"> ‘category one business’ (see proposed section 3.2.2A—6 above) must comply with proposed sections 3.2.2A—10 (</w:t>
      </w:r>
      <w:r w:rsidR="00CE0C63" w:rsidRPr="00CE0C63">
        <w:rPr>
          <w:bCs/>
          <w:kern w:val="32"/>
        </w:rPr>
        <w:t>Food safety training for food handlers engaged in a prescribed activity</w:t>
      </w:r>
      <w:r w:rsidR="00CE0C63">
        <w:rPr>
          <w:bCs/>
          <w:kern w:val="32"/>
        </w:rPr>
        <w:t>), 3.2.2A—11 (</w:t>
      </w:r>
      <w:r w:rsidR="00CE0C63" w:rsidRPr="00CE0C63">
        <w:rPr>
          <w:bCs/>
          <w:kern w:val="32"/>
        </w:rPr>
        <w:t>Supervision of food handlers</w:t>
      </w:r>
      <w:r w:rsidR="00CE0C63">
        <w:rPr>
          <w:bCs/>
          <w:kern w:val="32"/>
        </w:rPr>
        <w:t>), and 3.2.2A—12 (</w:t>
      </w:r>
      <w:r w:rsidR="00CE0C63" w:rsidRPr="00CE0C63">
        <w:rPr>
          <w:bCs/>
          <w:kern w:val="32"/>
        </w:rPr>
        <w:t>Substantiating food safety management of prescribed activities</w:t>
      </w:r>
      <w:r w:rsidR="00CE0C63">
        <w:rPr>
          <w:bCs/>
          <w:kern w:val="32"/>
        </w:rPr>
        <w:t>)</w:t>
      </w:r>
      <w:r w:rsidR="00E75931">
        <w:rPr>
          <w:bCs/>
          <w:kern w:val="32"/>
        </w:rPr>
        <w:t xml:space="preserve"> (see below)</w:t>
      </w:r>
      <w:r w:rsidR="00CE0C63">
        <w:rPr>
          <w:bCs/>
          <w:kern w:val="32"/>
        </w:rPr>
        <w:t>.</w:t>
      </w:r>
    </w:p>
    <w:p w14:paraId="46AE784A" w14:textId="0A1F2D6A" w:rsidR="00FD342E" w:rsidRDefault="00041B2B" w:rsidP="00F84A9E">
      <w:pPr>
        <w:tabs>
          <w:tab w:val="left" w:pos="720"/>
          <w:tab w:val="left" w:pos="851"/>
        </w:tabs>
        <w:spacing w:before="60" w:after="240"/>
        <w:rPr>
          <w:bCs/>
          <w:kern w:val="32"/>
        </w:rPr>
      </w:pPr>
      <w:r>
        <w:rPr>
          <w:bCs/>
          <w:kern w:val="32"/>
        </w:rPr>
        <w:t>If</w:t>
      </w:r>
      <w:r w:rsidR="00300207" w:rsidRPr="00300207">
        <w:rPr>
          <w:bCs/>
          <w:kern w:val="32"/>
        </w:rPr>
        <w:t xml:space="preserve"> a business engages in activities of </w:t>
      </w:r>
      <w:r w:rsidR="00300207" w:rsidRPr="001D18C7">
        <w:rPr>
          <w:bCs/>
          <w:i/>
          <w:kern w:val="32"/>
        </w:rPr>
        <w:t>both</w:t>
      </w:r>
      <w:r w:rsidR="00300207" w:rsidRPr="00300207">
        <w:rPr>
          <w:bCs/>
          <w:kern w:val="32"/>
        </w:rPr>
        <w:t xml:space="preserve"> a category one and category two business (see proposed sections 3.2.2A—6 an</w:t>
      </w:r>
      <w:r w:rsidR="00300207">
        <w:rPr>
          <w:bCs/>
          <w:kern w:val="32"/>
        </w:rPr>
        <w:t>d 3.2.2A—7 respectively, above)</w:t>
      </w:r>
      <w:r w:rsidR="00FD342E">
        <w:rPr>
          <w:bCs/>
          <w:kern w:val="32"/>
        </w:rPr>
        <w:t xml:space="preserve">, </w:t>
      </w:r>
      <w:r w:rsidR="00025574">
        <w:rPr>
          <w:bCs/>
          <w:kern w:val="32"/>
        </w:rPr>
        <w:t>then</w:t>
      </w:r>
      <w:r w:rsidR="00FD342E">
        <w:rPr>
          <w:bCs/>
          <w:kern w:val="32"/>
        </w:rPr>
        <w:t xml:space="preserve"> </w:t>
      </w:r>
      <w:r w:rsidR="00A81DC1">
        <w:rPr>
          <w:bCs/>
          <w:kern w:val="32"/>
        </w:rPr>
        <w:t xml:space="preserve">proposed section </w:t>
      </w:r>
      <w:r w:rsidR="00FD342E">
        <w:rPr>
          <w:bCs/>
          <w:kern w:val="32"/>
        </w:rPr>
        <w:t>3.2.2A—8</w:t>
      </w:r>
      <w:r w:rsidR="00025574">
        <w:rPr>
          <w:bCs/>
          <w:kern w:val="32"/>
        </w:rPr>
        <w:t xml:space="preserve"> </w:t>
      </w:r>
      <w:r w:rsidR="001719D6">
        <w:rPr>
          <w:bCs/>
          <w:kern w:val="32"/>
        </w:rPr>
        <w:t xml:space="preserve">would apply </w:t>
      </w:r>
      <w:r w:rsidR="00025574">
        <w:rPr>
          <w:bCs/>
          <w:kern w:val="32"/>
        </w:rPr>
        <w:t>to that business</w:t>
      </w:r>
      <w:r w:rsidR="00FD342E">
        <w:rPr>
          <w:bCs/>
          <w:kern w:val="32"/>
        </w:rPr>
        <w:t>.</w:t>
      </w:r>
    </w:p>
    <w:p w14:paraId="53C53A25" w14:textId="6BCFF2B8" w:rsidR="004449E0" w:rsidRDefault="00FD342E" w:rsidP="00F84A9E">
      <w:pPr>
        <w:pStyle w:val="FSCtMain"/>
        <w:spacing w:after="240"/>
        <w:ind w:left="0" w:firstLine="0"/>
        <w:rPr>
          <w:rFonts w:cs="Times New Roman"/>
          <w:bCs/>
          <w:iCs w:val="0"/>
          <w:kern w:val="32"/>
          <w:sz w:val="22"/>
          <w:szCs w:val="24"/>
          <w:lang w:eastAsia="en-US" w:bidi="en-US"/>
        </w:rPr>
      </w:pPr>
      <w:r>
        <w:rPr>
          <w:rFonts w:cs="Times New Roman"/>
          <w:b/>
          <w:bCs/>
          <w:iCs w:val="0"/>
          <w:kern w:val="32"/>
          <w:sz w:val="22"/>
          <w:szCs w:val="24"/>
          <w:lang w:eastAsia="en-US" w:bidi="en-US"/>
        </w:rPr>
        <w:t xml:space="preserve">Section 3.2.2A—9 </w:t>
      </w:r>
      <w:r w:rsidR="001719D6">
        <w:rPr>
          <w:rFonts w:cs="Times New Roman"/>
          <w:bCs/>
          <w:iCs w:val="0"/>
          <w:kern w:val="32"/>
          <w:sz w:val="22"/>
          <w:szCs w:val="24"/>
          <w:lang w:eastAsia="en-US" w:bidi="en-US"/>
        </w:rPr>
        <w:t>identifies</w:t>
      </w:r>
      <w:r w:rsidR="004449E0" w:rsidRPr="000113D3">
        <w:rPr>
          <w:rFonts w:cs="Times New Roman"/>
          <w:bCs/>
          <w:iCs w:val="0"/>
          <w:kern w:val="32"/>
          <w:sz w:val="22"/>
          <w:szCs w:val="24"/>
          <w:lang w:eastAsia="en-US" w:bidi="en-US"/>
        </w:rPr>
        <w:t xml:space="preserve"> which food safety management tools apply to category </w:t>
      </w:r>
      <w:r w:rsidR="004449E0">
        <w:rPr>
          <w:rFonts w:cs="Times New Roman"/>
          <w:bCs/>
          <w:iCs w:val="0"/>
          <w:kern w:val="32"/>
          <w:sz w:val="22"/>
          <w:szCs w:val="24"/>
          <w:lang w:eastAsia="en-US" w:bidi="en-US"/>
        </w:rPr>
        <w:t>two</w:t>
      </w:r>
      <w:r w:rsidR="004449E0" w:rsidRPr="000113D3">
        <w:rPr>
          <w:rFonts w:cs="Times New Roman"/>
          <w:bCs/>
          <w:iCs w:val="0"/>
          <w:kern w:val="32"/>
          <w:sz w:val="22"/>
          <w:szCs w:val="24"/>
          <w:lang w:eastAsia="en-US" w:bidi="en-US"/>
        </w:rPr>
        <w:t xml:space="preserve"> businesses.</w:t>
      </w:r>
    </w:p>
    <w:p w14:paraId="63147DDF" w14:textId="34F30604" w:rsidR="004449E0" w:rsidRDefault="00ED2BEE" w:rsidP="00F84A9E">
      <w:pPr>
        <w:pStyle w:val="FSCtMain"/>
        <w:spacing w:after="240"/>
        <w:ind w:left="0" w:firstLine="0"/>
        <w:rPr>
          <w:rFonts w:cs="Times New Roman"/>
          <w:bCs/>
          <w:iCs w:val="0"/>
          <w:kern w:val="32"/>
          <w:sz w:val="22"/>
          <w:szCs w:val="24"/>
          <w:lang w:eastAsia="en-US" w:bidi="en-US"/>
        </w:rPr>
      </w:pPr>
      <w:r w:rsidRPr="003E7972">
        <w:rPr>
          <w:rFonts w:cs="Times New Roman"/>
          <w:b/>
          <w:bCs/>
          <w:iCs w:val="0"/>
          <w:kern w:val="32"/>
          <w:sz w:val="22"/>
          <w:szCs w:val="24"/>
          <w:lang w:eastAsia="en-US" w:bidi="en-US"/>
        </w:rPr>
        <w:t>Proposed section 3.2.2A—9</w:t>
      </w:r>
      <w:r w:rsidRPr="00ED2BEE">
        <w:rPr>
          <w:rFonts w:cs="Times New Roman"/>
          <w:bCs/>
          <w:iCs w:val="0"/>
          <w:kern w:val="32"/>
          <w:sz w:val="22"/>
          <w:szCs w:val="24"/>
          <w:lang w:eastAsia="en-US" w:bidi="en-US"/>
        </w:rPr>
        <w:t xml:space="preserve"> provides that</w:t>
      </w:r>
      <w:r w:rsidR="004449E0" w:rsidRPr="000113D3">
        <w:rPr>
          <w:rFonts w:cs="Times New Roman"/>
          <w:bCs/>
          <w:iCs w:val="0"/>
          <w:kern w:val="32"/>
          <w:sz w:val="22"/>
          <w:szCs w:val="24"/>
          <w:lang w:eastAsia="en-US" w:bidi="en-US"/>
        </w:rPr>
        <w:t xml:space="preserve"> </w:t>
      </w:r>
      <w:r>
        <w:rPr>
          <w:rFonts w:cs="Times New Roman"/>
          <w:bCs/>
          <w:iCs w:val="0"/>
          <w:kern w:val="32"/>
          <w:sz w:val="22"/>
          <w:szCs w:val="24"/>
          <w:lang w:eastAsia="en-US" w:bidi="en-US"/>
        </w:rPr>
        <w:t xml:space="preserve">a </w:t>
      </w:r>
      <w:r w:rsidR="004449E0" w:rsidRPr="000113D3">
        <w:rPr>
          <w:rFonts w:cs="Times New Roman"/>
          <w:bCs/>
          <w:iCs w:val="0"/>
          <w:kern w:val="32"/>
          <w:sz w:val="22"/>
          <w:szCs w:val="24"/>
          <w:lang w:eastAsia="en-US" w:bidi="en-US"/>
        </w:rPr>
        <w:t xml:space="preserve">category </w:t>
      </w:r>
      <w:r w:rsidR="004449E0">
        <w:rPr>
          <w:rFonts w:cs="Times New Roman"/>
          <w:bCs/>
          <w:iCs w:val="0"/>
          <w:kern w:val="32"/>
          <w:sz w:val="22"/>
          <w:szCs w:val="24"/>
          <w:lang w:eastAsia="en-US" w:bidi="en-US"/>
        </w:rPr>
        <w:t>two</w:t>
      </w:r>
      <w:r w:rsidR="004449E0" w:rsidRPr="000113D3">
        <w:rPr>
          <w:rFonts w:cs="Times New Roman"/>
          <w:bCs/>
          <w:iCs w:val="0"/>
          <w:kern w:val="32"/>
          <w:sz w:val="22"/>
          <w:szCs w:val="24"/>
          <w:lang w:eastAsia="en-US" w:bidi="en-US"/>
        </w:rPr>
        <w:t xml:space="preserve"> business (see proposed section 3.2.2A—</w:t>
      </w:r>
      <w:r w:rsidR="004449E0">
        <w:rPr>
          <w:rFonts w:cs="Times New Roman"/>
          <w:bCs/>
          <w:iCs w:val="0"/>
          <w:kern w:val="32"/>
          <w:sz w:val="22"/>
          <w:szCs w:val="24"/>
          <w:lang w:eastAsia="en-US" w:bidi="en-US"/>
        </w:rPr>
        <w:t>7</w:t>
      </w:r>
      <w:r w:rsidR="004449E0" w:rsidRPr="000113D3">
        <w:rPr>
          <w:rFonts w:cs="Times New Roman"/>
          <w:bCs/>
          <w:iCs w:val="0"/>
          <w:kern w:val="32"/>
          <w:sz w:val="22"/>
          <w:szCs w:val="24"/>
          <w:lang w:eastAsia="en-US" w:bidi="en-US"/>
        </w:rPr>
        <w:t xml:space="preserve"> above) must comply with proposed sections 3.2.2A—10 (Food safety training for food handlers eng</w:t>
      </w:r>
      <w:r w:rsidR="004449E0">
        <w:rPr>
          <w:rFonts w:cs="Times New Roman"/>
          <w:bCs/>
          <w:iCs w:val="0"/>
          <w:kern w:val="32"/>
          <w:sz w:val="22"/>
          <w:szCs w:val="24"/>
          <w:lang w:eastAsia="en-US" w:bidi="en-US"/>
        </w:rPr>
        <w:t xml:space="preserve">aged in a prescribed activity) and </w:t>
      </w:r>
      <w:r w:rsidR="004449E0" w:rsidRPr="000113D3">
        <w:rPr>
          <w:rFonts w:cs="Times New Roman"/>
          <w:bCs/>
          <w:iCs w:val="0"/>
          <w:kern w:val="32"/>
          <w:sz w:val="22"/>
          <w:szCs w:val="24"/>
          <w:lang w:eastAsia="en-US" w:bidi="en-US"/>
        </w:rPr>
        <w:t>3.2.2A—11 (Supervision of food handlers)</w:t>
      </w:r>
      <w:r w:rsidR="004449E0">
        <w:rPr>
          <w:rFonts w:cs="Times New Roman"/>
          <w:bCs/>
          <w:iCs w:val="0"/>
          <w:kern w:val="32"/>
          <w:sz w:val="22"/>
          <w:szCs w:val="24"/>
          <w:lang w:eastAsia="en-US" w:bidi="en-US"/>
        </w:rPr>
        <w:t xml:space="preserve"> (see below).</w:t>
      </w:r>
    </w:p>
    <w:p w14:paraId="708B7710" w14:textId="04B1B2D1" w:rsidR="001719D6" w:rsidRPr="000113D3" w:rsidRDefault="001719D6" w:rsidP="00F84A9E">
      <w:pPr>
        <w:pStyle w:val="FSCtMain"/>
        <w:spacing w:after="240"/>
        <w:ind w:left="0" w:firstLine="0"/>
        <w:rPr>
          <w:rFonts w:cs="Times New Roman"/>
          <w:bCs/>
          <w:iCs w:val="0"/>
          <w:kern w:val="32"/>
          <w:sz w:val="22"/>
          <w:szCs w:val="24"/>
          <w:lang w:eastAsia="en-US" w:bidi="en-US"/>
        </w:rPr>
      </w:pPr>
      <w:r>
        <w:rPr>
          <w:rFonts w:cs="Times New Roman"/>
          <w:bCs/>
          <w:iCs w:val="0"/>
          <w:kern w:val="32"/>
          <w:sz w:val="22"/>
          <w:szCs w:val="24"/>
          <w:lang w:eastAsia="en-US" w:bidi="en-US"/>
        </w:rPr>
        <w:t xml:space="preserve">However, as stated above, </w:t>
      </w:r>
      <w:r w:rsidR="001277FC" w:rsidRPr="001277FC">
        <w:rPr>
          <w:rFonts w:cs="Times New Roman"/>
          <w:bCs/>
          <w:iCs w:val="0"/>
          <w:kern w:val="32"/>
          <w:sz w:val="22"/>
          <w:szCs w:val="24"/>
          <w:lang w:eastAsia="en-US" w:bidi="en-US"/>
        </w:rPr>
        <w:t xml:space="preserve">if a business engages in activities of </w:t>
      </w:r>
      <w:r w:rsidR="001277FC" w:rsidRPr="001D18C7">
        <w:rPr>
          <w:rFonts w:cs="Times New Roman"/>
          <w:bCs/>
          <w:i/>
          <w:iCs w:val="0"/>
          <w:kern w:val="32"/>
          <w:sz w:val="22"/>
          <w:szCs w:val="24"/>
          <w:lang w:eastAsia="en-US" w:bidi="en-US"/>
        </w:rPr>
        <w:t>both</w:t>
      </w:r>
      <w:r w:rsidR="001277FC" w:rsidRPr="001277FC">
        <w:rPr>
          <w:rFonts w:cs="Times New Roman"/>
          <w:bCs/>
          <w:iCs w:val="0"/>
          <w:kern w:val="32"/>
          <w:sz w:val="22"/>
          <w:szCs w:val="24"/>
          <w:lang w:eastAsia="en-US" w:bidi="en-US"/>
        </w:rPr>
        <w:t xml:space="preserve"> a category one and category two business (see proposed sections 3.2.2A—6 and 3.2.2A—7 respectively, above),</w:t>
      </w:r>
      <w:r w:rsidR="001277FC">
        <w:rPr>
          <w:rFonts w:cs="Times New Roman"/>
          <w:bCs/>
          <w:iCs w:val="0"/>
          <w:kern w:val="32"/>
          <w:sz w:val="22"/>
          <w:szCs w:val="24"/>
          <w:lang w:eastAsia="en-US" w:bidi="en-US"/>
        </w:rPr>
        <w:t xml:space="preserve"> </w:t>
      </w:r>
      <w:r w:rsidR="001277FC" w:rsidRPr="001277FC">
        <w:rPr>
          <w:rFonts w:cs="Times New Roman"/>
          <w:bCs/>
          <w:iCs w:val="0"/>
          <w:kern w:val="32"/>
          <w:sz w:val="22"/>
          <w:szCs w:val="24"/>
          <w:lang w:eastAsia="en-US" w:bidi="en-US"/>
        </w:rPr>
        <w:t xml:space="preserve">then proposed section 3.2.2A—8 </w:t>
      </w:r>
      <w:r w:rsidR="001277FC">
        <w:rPr>
          <w:rFonts w:cs="Times New Roman"/>
          <w:bCs/>
          <w:iCs w:val="0"/>
          <w:kern w:val="32"/>
          <w:sz w:val="22"/>
          <w:szCs w:val="24"/>
          <w:lang w:eastAsia="en-US" w:bidi="en-US"/>
        </w:rPr>
        <w:t xml:space="preserve">(see above) </w:t>
      </w:r>
      <w:r w:rsidR="001277FC" w:rsidRPr="001277FC">
        <w:rPr>
          <w:rFonts w:cs="Times New Roman"/>
          <w:bCs/>
          <w:iCs w:val="0"/>
          <w:kern w:val="32"/>
          <w:sz w:val="22"/>
          <w:szCs w:val="24"/>
          <w:lang w:eastAsia="en-US" w:bidi="en-US"/>
        </w:rPr>
        <w:t>would apply to that business</w:t>
      </w:r>
      <w:r w:rsidRPr="001719D6">
        <w:rPr>
          <w:rFonts w:cs="Times New Roman"/>
          <w:bCs/>
          <w:iCs w:val="0"/>
          <w:kern w:val="32"/>
          <w:sz w:val="22"/>
          <w:szCs w:val="24"/>
          <w:lang w:eastAsia="en-US" w:bidi="en-US"/>
        </w:rPr>
        <w:t>.</w:t>
      </w:r>
    </w:p>
    <w:p w14:paraId="013E6318" w14:textId="0951B5B5" w:rsidR="009A6331" w:rsidRDefault="00FD342E" w:rsidP="00F84A9E">
      <w:pPr>
        <w:spacing w:after="240"/>
        <w:rPr>
          <w:bCs/>
        </w:rPr>
      </w:pPr>
      <w:r w:rsidRPr="00AD648F">
        <w:rPr>
          <w:b/>
          <w:bCs/>
        </w:rPr>
        <w:t>Section</w:t>
      </w:r>
      <w:r w:rsidRPr="000A19FD">
        <w:rPr>
          <w:bCs/>
        </w:rPr>
        <w:t xml:space="preserve"> </w:t>
      </w:r>
      <w:r w:rsidRPr="00E03E6A">
        <w:rPr>
          <w:b/>
          <w:bCs/>
        </w:rPr>
        <w:t>3.2.2A—</w:t>
      </w:r>
      <w:r>
        <w:rPr>
          <w:b/>
          <w:bCs/>
        </w:rPr>
        <w:t xml:space="preserve">10 </w:t>
      </w:r>
      <w:r w:rsidR="009A6331" w:rsidRPr="000113D3">
        <w:rPr>
          <w:bCs/>
        </w:rPr>
        <w:t xml:space="preserve">sets out </w:t>
      </w:r>
      <w:r w:rsidR="002A3312">
        <w:rPr>
          <w:bCs/>
        </w:rPr>
        <w:t xml:space="preserve">the </w:t>
      </w:r>
      <w:r w:rsidR="009A6331" w:rsidRPr="000113D3">
        <w:rPr>
          <w:bCs/>
        </w:rPr>
        <w:t xml:space="preserve">food safety training requirements for food handlers </w:t>
      </w:r>
      <w:r w:rsidR="002A3312">
        <w:rPr>
          <w:bCs/>
        </w:rPr>
        <w:t xml:space="preserve">who </w:t>
      </w:r>
      <w:r w:rsidR="009A6331" w:rsidRPr="000113D3">
        <w:rPr>
          <w:bCs/>
        </w:rPr>
        <w:t>engage</w:t>
      </w:r>
      <w:r w:rsidR="002A3312">
        <w:rPr>
          <w:bCs/>
        </w:rPr>
        <w:t xml:space="preserve"> </w:t>
      </w:r>
      <w:r w:rsidR="009A6331" w:rsidRPr="000113D3">
        <w:rPr>
          <w:bCs/>
        </w:rPr>
        <w:t>in a prescribed activity</w:t>
      </w:r>
      <w:r w:rsidR="00F1161C">
        <w:rPr>
          <w:bCs/>
        </w:rPr>
        <w:t xml:space="preserve"> (food safety training requirements)</w:t>
      </w:r>
      <w:r w:rsidR="009A6331" w:rsidRPr="000113D3">
        <w:rPr>
          <w:bCs/>
        </w:rPr>
        <w:t>.</w:t>
      </w:r>
      <w:r w:rsidR="00480BFA">
        <w:rPr>
          <w:bCs/>
        </w:rPr>
        <w:t xml:space="preserve"> </w:t>
      </w:r>
    </w:p>
    <w:p w14:paraId="01BAFD0E" w14:textId="40B7EEF1" w:rsidR="002A3312" w:rsidRPr="000113D3" w:rsidRDefault="00236567" w:rsidP="002A3312">
      <w:pPr>
        <w:spacing w:after="240"/>
        <w:rPr>
          <w:bCs/>
        </w:rPr>
      </w:pPr>
      <w:r w:rsidRPr="002176CC">
        <w:rPr>
          <w:b/>
        </w:rPr>
        <w:t>Proposed section 3.2.2A—10</w:t>
      </w:r>
      <w:r>
        <w:t xml:space="preserve"> provides that a</w:t>
      </w:r>
      <w:r w:rsidR="002A3312" w:rsidRPr="000113D3">
        <w:rPr>
          <w:bCs/>
        </w:rPr>
        <w:t xml:space="preserve"> food business must ensure that each food handler who engages in a prescribed activity</w:t>
      </w:r>
      <w:r w:rsidR="00480BFA">
        <w:rPr>
          <w:bCs/>
        </w:rPr>
        <w:t xml:space="preserve"> </w:t>
      </w:r>
      <w:r w:rsidR="002A3312" w:rsidRPr="000113D3">
        <w:rPr>
          <w:bCs/>
        </w:rPr>
        <w:t xml:space="preserve">has, </w:t>
      </w:r>
      <w:r w:rsidR="002A3312" w:rsidRPr="000D46CE">
        <w:rPr>
          <w:bCs/>
          <w:i/>
        </w:rPr>
        <w:t>before engaging in that activity</w:t>
      </w:r>
      <w:r w:rsidR="002A3312" w:rsidRPr="000113D3">
        <w:rPr>
          <w:bCs/>
        </w:rPr>
        <w:t xml:space="preserve">: </w:t>
      </w:r>
    </w:p>
    <w:p w14:paraId="7D8ABC4D" w14:textId="180C14C8" w:rsidR="002A3312" w:rsidRPr="000113D3" w:rsidRDefault="002A3312" w:rsidP="000113D3">
      <w:pPr>
        <w:pStyle w:val="ListParagraph"/>
        <w:numPr>
          <w:ilvl w:val="0"/>
          <w:numId w:val="65"/>
        </w:numPr>
        <w:spacing w:after="240"/>
        <w:rPr>
          <w:bCs/>
        </w:rPr>
      </w:pPr>
      <w:r w:rsidRPr="000113D3">
        <w:rPr>
          <w:bCs/>
        </w:rPr>
        <w:lastRenderedPageBreak/>
        <w:t>completed a food safety training course; or</w:t>
      </w:r>
    </w:p>
    <w:p w14:paraId="6E282637" w14:textId="2A16B3A6" w:rsidR="002A3312" w:rsidRPr="000113D3" w:rsidRDefault="002A3312" w:rsidP="000113D3">
      <w:pPr>
        <w:pStyle w:val="ListParagraph"/>
        <w:numPr>
          <w:ilvl w:val="0"/>
          <w:numId w:val="65"/>
        </w:numPr>
        <w:spacing w:after="240"/>
        <w:rPr>
          <w:bCs/>
        </w:rPr>
      </w:pPr>
      <w:r w:rsidRPr="000113D3">
        <w:rPr>
          <w:bCs/>
        </w:rPr>
        <w:t>skills and knowledge of food safety and hygiene matters commensurate with that specific prescribed activity.</w:t>
      </w:r>
    </w:p>
    <w:p w14:paraId="719417C0" w14:textId="4CE6A97C" w:rsidR="00E73A95" w:rsidRDefault="00E73A95" w:rsidP="00F84A9E">
      <w:pPr>
        <w:spacing w:after="240"/>
        <w:rPr>
          <w:bCs/>
        </w:rPr>
      </w:pPr>
      <w:r>
        <w:rPr>
          <w:bCs/>
        </w:rPr>
        <w:t xml:space="preserve">‘Food safety training’ and </w:t>
      </w:r>
      <w:r w:rsidR="0048524F">
        <w:rPr>
          <w:bCs/>
        </w:rPr>
        <w:t>‘</w:t>
      </w:r>
      <w:r>
        <w:rPr>
          <w:bCs/>
        </w:rPr>
        <w:t>f</w:t>
      </w:r>
      <w:r w:rsidR="0048524F" w:rsidRPr="00D97447">
        <w:rPr>
          <w:bCs/>
        </w:rPr>
        <w:t>ood safety training course</w:t>
      </w:r>
      <w:r w:rsidR="0048524F">
        <w:rPr>
          <w:bCs/>
        </w:rPr>
        <w:t xml:space="preserve">’ </w:t>
      </w:r>
      <w:r>
        <w:rPr>
          <w:bCs/>
        </w:rPr>
        <w:t>are</w:t>
      </w:r>
      <w:r w:rsidR="0048524F">
        <w:rPr>
          <w:bCs/>
        </w:rPr>
        <w:t xml:space="preserve"> defined in proposed section 3.2.2A—2 (see above).</w:t>
      </w:r>
      <w:r w:rsidR="00F63DF3">
        <w:rPr>
          <w:bCs/>
        </w:rPr>
        <w:t xml:space="preserve"> </w:t>
      </w:r>
      <w:r>
        <w:t>‘Food business’ and ‘handling’ are defined in clause 2 of Standard 3.3.1.</w:t>
      </w:r>
      <w:r w:rsidR="00F63DF3">
        <w:t xml:space="preserve"> </w:t>
      </w:r>
      <w:r>
        <w:t xml:space="preserve">What constitutes a ‘prescribed activity’ is set out in </w:t>
      </w:r>
      <w:r>
        <w:rPr>
          <w:bCs/>
        </w:rPr>
        <w:t>proposed section 3.2.2A—5 (see above).</w:t>
      </w:r>
    </w:p>
    <w:p w14:paraId="4076494D" w14:textId="42736779" w:rsidR="00FD342E" w:rsidRDefault="00FB5963" w:rsidP="00F84A9E">
      <w:pPr>
        <w:spacing w:after="240"/>
      </w:pPr>
      <w:r>
        <w:t xml:space="preserve">These </w:t>
      </w:r>
      <w:r w:rsidR="00480BFA">
        <w:t xml:space="preserve">food safety training </w:t>
      </w:r>
      <w:r>
        <w:t>requirements are</w:t>
      </w:r>
      <w:r w:rsidR="00FD342E">
        <w:t xml:space="preserve"> intended to ensure that f</w:t>
      </w:r>
      <w:r w:rsidR="00FD342E" w:rsidRPr="000E5A63">
        <w:t xml:space="preserve">ood handlers </w:t>
      </w:r>
      <w:r w:rsidR="00FD342E">
        <w:t xml:space="preserve">have the </w:t>
      </w:r>
      <w:r w:rsidR="00FD342E" w:rsidRPr="000E5A63">
        <w:t>food safety skills and knowledge</w:t>
      </w:r>
      <w:r w:rsidR="00FC252D">
        <w:t xml:space="preserve"> </w:t>
      </w:r>
      <w:r w:rsidR="00FD342E">
        <w:t>required to handle</w:t>
      </w:r>
      <w:r w:rsidR="00FD342E" w:rsidRPr="000E5A63">
        <w:t xml:space="preserve"> foods that support the growth of pathogenic microorganisms.</w:t>
      </w:r>
      <w:r w:rsidR="00FD342E">
        <w:t xml:space="preserve"> </w:t>
      </w:r>
      <w:r>
        <w:t>In particular,</w:t>
      </w:r>
      <w:r w:rsidR="00FD342E">
        <w:t xml:space="preserve"> businesses </w:t>
      </w:r>
      <w:r>
        <w:t xml:space="preserve">are able to </w:t>
      </w:r>
      <w:r w:rsidR="00FD342E">
        <w:t>recognise prior learning, such as competency</w:t>
      </w:r>
      <w:r w:rsidR="00025574">
        <w:t>-</w:t>
      </w:r>
      <w:r w:rsidR="00FD342E">
        <w:t xml:space="preserve">based food safety training, as an alternative to requiring the food handler to complete </w:t>
      </w:r>
      <w:r w:rsidR="00F84A9E">
        <w:t xml:space="preserve">a food safety training course. </w:t>
      </w:r>
    </w:p>
    <w:p w14:paraId="3A8CE117" w14:textId="298D124E" w:rsidR="00AC1462" w:rsidRPr="00F84A9E" w:rsidRDefault="00E23FC3" w:rsidP="00F84A9E">
      <w:pPr>
        <w:spacing w:after="240"/>
      </w:pPr>
      <w:r>
        <w:t xml:space="preserve">Both category one and category two businesses </w:t>
      </w:r>
      <w:r w:rsidR="006C09DE">
        <w:t xml:space="preserve">(as defined in proposed sections 3.2.2A—6 and 3.2.2A—7 above) </w:t>
      </w:r>
      <w:r w:rsidR="00F1161C">
        <w:t>would have to</w:t>
      </w:r>
      <w:r>
        <w:t xml:space="preserve"> comply with these </w:t>
      </w:r>
      <w:r w:rsidR="00F1161C">
        <w:rPr>
          <w:bCs/>
        </w:rPr>
        <w:t xml:space="preserve">food safety training </w:t>
      </w:r>
      <w:r>
        <w:t>requirements (see proposed section 3.2.2A—8 and 3.2.2A—9 above).</w:t>
      </w:r>
      <w:r w:rsidR="006C518E">
        <w:t xml:space="preserve"> </w:t>
      </w:r>
    </w:p>
    <w:p w14:paraId="5DC9A49C" w14:textId="2FADC807" w:rsidR="00236567" w:rsidRDefault="00FD342E" w:rsidP="00F84A9E">
      <w:pPr>
        <w:spacing w:after="240"/>
      </w:pPr>
      <w:r>
        <w:rPr>
          <w:b/>
          <w:bCs/>
        </w:rPr>
        <w:t>Section</w:t>
      </w:r>
      <w:r w:rsidRPr="00373C88">
        <w:rPr>
          <w:bCs/>
        </w:rPr>
        <w:t xml:space="preserve"> </w:t>
      </w:r>
      <w:r w:rsidRPr="00E03E6A">
        <w:rPr>
          <w:b/>
          <w:bCs/>
        </w:rPr>
        <w:t>3.2.2A—</w:t>
      </w:r>
      <w:r>
        <w:rPr>
          <w:b/>
          <w:bCs/>
        </w:rPr>
        <w:t xml:space="preserve">11 </w:t>
      </w:r>
      <w:r w:rsidR="00236567">
        <w:rPr>
          <w:bCs/>
        </w:rPr>
        <w:t xml:space="preserve">sets out requirements for food businesses in relation to the </w:t>
      </w:r>
      <w:r w:rsidR="00236567">
        <w:t>supervision of food handlers</w:t>
      </w:r>
      <w:r w:rsidR="00F1161C">
        <w:t xml:space="preserve"> (supervision requirements)</w:t>
      </w:r>
      <w:r w:rsidR="00236567">
        <w:t>.</w:t>
      </w:r>
    </w:p>
    <w:p w14:paraId="454B6C63" w14:textId="7DCA11FF" w:rsidR="00236567" w:rsidRDefault="00236567" w:rsidP="00236567">
      <w:pPr>
        <w:spacing w:after="240"/>
      </w:pPr>
      <w:r w:rsidRPr="002176CC">
        <w:rPr>
          <w:b/>
        </w:rPr>
        <w:t>Proposed section 3.2.2A—11</w:t>
      </w:r>
      <w:r>
        <w:t xml:space="preserve"> provides that the food business must:</w:t>
      </w:r>
    </w:p>
    <w:p w14:paraId="7989EB80" w14:textId="39A2DFE4" w:rsidR="00236567" w:rsidRDefault="00236567" w:rsidP="00D41B5E">
      <w:pPr>
        <w:pStyle w:val="ListParagraph"/>
        <w:numPr>
          <w:ilvl w:val="0"/>
          <w:numId w:val="66"/>
        </w:numPr>
        <w:spacing w:after="240"/>
      </w:pPr>
      <w:r>
        <w:t>appoint a food safety supervisor</w:t>
      </w:r>
      <w:r w:rsidR="00BC7FA2">
        <w:t xml:space="preserve"> </w:t>
      </w:r>
      <w:r w:rsidRPr="00D41B5E">
        <w:rPr>
          <w:i/>
        </w:rPr>
        <w:t>before</w:t>
      </w:r>
      <w:r>
        <w:t xml:space="preserve"> engaging in a prescribed activity; and</w:t>
      </w:r>
    </w:p>
    <w:p w14:paraId="2E122984" w14:textId="47808FD7" w:rsidR="0048524F" w:rsidRPr="0048524F" w:rsidRDefault="00236567" w:rsidP="00D41B5E">
      <w:pPr>
        <w:pStyle w:val="ListParagraph"/>
        <w:numPr>
          <w:ilvl w:val="0"/>
          <w:numId w:val="66"/>
        </w:numPr>
        <w:spacing w:after="240"/>
        <w:rPr>
          <w:bCs/>
        </w:rPr>
      </w:pPr>
      <w:r>
        <w:t>ensure that the food safety supervisor</w:t>
      </w:r>
      <w:r w:rsidR="00480BFA">
        <w:t xml:space="preserve"> </w:t>
      </w:r>
      <w:r>
        <w:t>is reasonably available to advise and supervise each food handler engaged in that prescribed activity.</w:t>
      </w:r>
      <w:r w:rsidR="00FC252D">
        <w:t xml:space="preserve"> </w:t>
      </w:r>
    </w:p>
    <w:p w14:paraId="6E86C443" w14:textId="4058FB6A" w:rsidR="00236567" w:rsidRPr="00D41B5E" w:rsidRDefault="000D46CE" w:rsidP="0048524F">
      <w:pPr>
        <w:spacing w:after="240"/>
        <w:rPr>
          <w:bCs/>
        </w:rPr>
      </w:pPr>
      <w:r>
        <w:t>‘Food safety supervisor’ is defined in proposed section 3.2.2A—2 (see above).</w:t>
      </w:r>
      <w:r w:rsidR="00F63DF3">
        <w:t xml:space="preserve"> </w:t>
      </w:r>
      <w:r>
        <w:t xml:space="preserve">What constitutes a ‘prescribed activity’ is set out in </w:t>
      </w:r>
      <w:r>
        <w:rPr>
          <w:bCs/>
        </w:rPr>
        <w:t>proposed section 3.2.2A—5 (see above).</w:t>
      </w:r>
      <w:r w:rsidR="00F63DF3">
        <w:rPr>
          <w:bCs/>
        </w:rPr>
        <w:t xml:space="preserve"> </w:t>
      </w:r>
      <w:r w:rsidR="00510B34">
        <w:t xml:space="preserve">‘Food business’ and ‘handling’ are </w:t>
      </w:r>
      <w:r w:rsidR="0048524F">
        <w:t>defined in clause 2 of Standard 3.1.1.</w:t>
      </w:r>
      <w:r w:rsidR="00236567">
        <w:t xml:space="preserve"> </w:t>
      </w:r>
    </w:p>
    <w:p w14:paraId="3E32A50E" w14:textId="6BC450A0" w:rsidR="001225BB" w:rsidRDefault="00FD342E" w:rsidP="00F84A9E">
      <w:pPr>
        <w:spacing w:after="240"/>
      </w:pPr>
      <w:r w:rsidRPr="00ED5D65">
        <w:t xml:space="preserve">A </w:t>
      </w:r>
      <w:r w:rsidR="00BC7FA2">
        <w:t>‘</w:t>
      </w:r>
      <w:r w:rsidRPr="00ED5D65">
        <w:t>food safety supervisor</w:t>
      </w:r>
      <w:r w:rsidR="00BC7FA2">
        <w:t>’</w:t>
      </w:r>
      <w:r w:rsidR="00FC252D">
        <w:t xml:space="preserve"> </w:t>
      </w:r>
      <w:r w:rsidRPr="00ED5D65">
        <w:t xml:space="preserve">has an important role in fostering a positive food safety culture, imparting skills and knowledge and improving awareness of foodborne illness and its impacts. </w:t>
      </w:r>
      <w:r>
        <w:t xml:space="preserve">The business must not undertake any </w:t>
      </w:r>
      <w:r w:rsidR="00BC7FA2">
        <w:t>‘</w:t>
      </w:r>
      <w:r>
        <w:t>prescribed activities</w:t>
      </w:r>
      <w:r w:rsidR="00BC7FA2">
        <w:t>’</w:t>
      </w:r>
      <w:r w:rsidRPr="00ED5D65">
        <w:t xml:space="preserve"> until </w:t>
      </w:r>
      <w:r>
        <w:t>a</w:t>
      </w:r>
      <w:r w:rsidRPr="00ED5D65">
        <w:t xml:space="preserve"> </w:t>
      </w:r>
      <w:r w:rsidR="00BC7FA2">
        <w:t>‘</w:t>
      </w:r>
      <w:r>
        <w:t>food safety supervisor</w:t>
      </w:r>
      <w:r w:rsidR="00BC7FA2">
        <w:t>’</w:t>
      </w:r>
      <w:r>
        <w:t xml:space="preserve"> has been appointed.</w:t>
      </w:r>
    </w:p>
    <w:p w14:paraId="51016450" w14:textId="06D7DF58" w:rsidR="00E23FC3" w:rsidRPr="00F84A9E" w:rsidRDefault="00E23FC3" w:rsidP="00E23FC3">
      <w:pPr>
        <w:spacing w:after="240"/>
      </w:pPr>
      <w:r>
        <w:lastRenderedPageBreak/>
        <w:t xml:space="preserve">Both category one and category two businesses </w:t>
      </w:r>
      <w:r w:rsidR="006C09DE">
        <w:t xml:space="preserve">(as defined in proposed sections 3.2.2A—6 and 3.2.2A—7 </w:t>
      </w:r>
      <w:r w:rsidR="00F1161C">
        <w:t xml:space="preserve">respectively, </w:t>
      </w:r>
      <w:r w:rsidR="006C09DE">
        <w:t xml:space="preserve">above) </w:t>
      </w:r>
      <w:r w:rsidR="00F1161C">
        <w:t>would have to</w:t>
      </w:r>
      <w:r>
        <w:t xml:space="preserve"> comply with these </w:t>
      </w:r>
      <w:r w:rsidR="00F1161C">
        <w:t xml:space="preserve">supervision </w:t>
      </w:r>
      <w:r>
        <w:t>requirements (see proposed section 3.2.2A—8 and 3.2.2A—9 above).</w:t>
      </w:r>
    </w:p>
    <w:p w14:paraId="42ADABDF" w14:textId="0079E850" w:rsidR="004B10E4" w:rsidRDefault="00FD342E" w:rsidP="00F84A9E">
      <w:pPr>
        <w:spacing w:after="240"/>
      </w:pPr>
      <w:r>
        <w:rPr>
          <w:b/>
          <w:bCs/>
        </w:rPr>
        <w:t xml:space="preserve">Section </w:t>
      </w:r>
      <w:r w:rsidRPr="00E03E6A">
        <w:rPr>
          <w:b/>
          <w:bCs/>
        </w:rPr>
        <w:t>3.2.2A—</w:t>
      </w:r>
      <w:r>
        <w:rPr>
          <w:b/>
          <w:bCs/>
        </w:rPr>
        <w:t xml:space="preserve">12 </w:t>
      </w:r>
      <w:r w:rsidR="004B10E4" w:rsidRPr="00D41B5E">
        <w:rPr>
          <w:bCs/>
        </w:rPr>
        <w:t>sets out requirements related to</w:t>
      </w:r>
      <w:r w:rsidR="004B10E4">
        <w:rPr>
          <w:b/>
          <w:bCs/>
        </w:rPr>
        <w:t xml:space="preserve"> </w:t>
      </w:r>
      <w:r w:rsidR="004B10E4">
        <w:t>substantiating the food safety management of prescribed activities</w:t>
      </w:r>
      <w:r w:rsidR="00F1161C">
        <w:t xml:space="preserve"> (substantiation requirements)</w:t>
      </w:r>
      <w:r w:rsidR="004B10E4">
        <w:t>.</w:t>
      </w:r>
    </w:p>
    <w:p w14:paraId="198BA0EE" w14:textId="3BAE8058" w:rsidR="004B10E4" w:rsidRDefault="004B10E4" w:rsidP="00F84A9E">
      <w:pPr>
        <w:spacing w:after="240"/>
      </w:pPr>
      <w:r w:rsidRPr="00D416D3">
        <w:rPr>
          <w:b/>
        </w:rPr>
        <w:t>Proposed subsection 3.2.2A—12(1)</w:t>
      </w:r>
      <w:r>
        <w:t xml:space="preserve"> </w:t>
      </w:r>
      <w:r w:rsidR="00A42A1A">
        <w:t>requires</w:t>
      </w:r>
      <w:r>
        <w:t xml:space="preserve"> that</w:t>
      </w:r>
      <w:r w:rsidR="00A42A1A">
        <w:t>,</w:t>
      </w:r>
      <w:r>
        <w:t xml:space="preserve"> </w:t>
      </w:r>
      <w:r w:rsidRPr="00D41B5E">
        <w:rPr>
          <w:i/>
        </w:rPr>
        <w:t>subject to section 3</w:t>
      </w:r>
      <w:r w:rsidRPr="004B10E4">
        <w:t xml:space="preserve">, </w:t>
      </w:r>
      <w:r w:rsidR="00A42A1A">
        <w:t>a</w:t>
      </w:r>
      <w:r w:rsidRPr="004B10E4">
        <w:t xml:space="preserve"> </w:t>
      </w:r>
      <w:r w:rsidR="005A5B51">
        <w:t>f</w:t>
      </w:r>
      <w:r w:rsidRPr="004B10E4">
        <w:t>ood business engag</w:t>
      </w:r>
      <w:r w:rsidR="00A42A1A">
        <w:t>ing</w:t>
      </w:r>
      <w:r w:rsidRPr="004B10E4">
        <w:t xml:space="preserve"> in a prescribed activity</w:t>
      </w:r>
      <w:r>
        <w:t xml:space="preserve"> </w:t>
      </w:r>
      <w:r w:rsidRPr="004B10E4">
        <w:t xml:space="preserve">must make a record that substantiates any matter that the prescribed provisions </w:t>
      </w:r>
      <w:r w:rsidR="00D857FB">
        <w:t>(as listed in</w:t>
      </w:r>
      <w:r w:rsidR="00A42A1A">
        <w:t xml:space="preserve"> proposed subsection 3.2.2A—12(4) below)</w:t>
      </w:r>
      <w:r w:rsidR="00D857FB">
        <w:t xml:space="preserve"> </w:t>
      </w:r>
      <w:r w:rsidRPr="004B10E4">
        <w:t>require in relation to that prescribed activity.</w:t>
      </w:r>
    </w:p>
    <w:p w14:paraId="76D644FD" w14:textId="40B74298" w:rsidR="006351A7" w:rsidRDefault="007B1492" w:rsidP="00F84A9E">
      <w:pPr>
        <w:spacing w:after="240"/>
      </w:pPr>
      <w:r>
        <w:rPr>
          <w:bCs/>
        </w:rPr>
        <w:t>T</w:t>
      </w:r>
      <w:r w:rsidR="007841CE" w:rsidRPr="00D41B5E">
        <w:rPr>
          <w:bCs/>
        </w:rPr>
        <w:t>h</w:t>
      </w:r>
      <w:r>
        <w:rPr>
          <w:bCs/>
        </w:rPr>
        <w:t>is</w:t>
      </w:r>
      <w:r w:rsidR="007841CE" w:rsidRPr="00D41B5E">
        <w:rPr>
          <w:bCs/>
        </w:rPr>
        <w:t xml:space="preserve"> requirement does not apply</w:t>
      </w:r>
      <w:r w:rsidR="007841CE">
        <w:rPr>
          <w:b/>
          <w:bCs/>
        </w:rPr>
        <w:t xml:space="preserve"> </w:t>
      </w:r>
      <w:r w:rsidR="007841CE">
        <w:t>to the handling of food for or at a fund raising event.</w:t>
      </w:r>
      <w:r w:rsidR="00BC7FA2">
        <w:t xml:space="preserve"> </w:t>
      </w:r>
    </w:p>
    <w:p w14:paraId="640DB8C5" w14:textId="53004180" w:rsidR="005A5B51" w:rsidRDefault="007B1492" w:rsidP="005A5B51">
      <w:pPr>
        <w:spacing w:after="240"/>
        <w:rPr>
          <w:bCs/>
        </w:rPr>
      </w:pPr>
      <w:r>
        <w:t>‘Fund raising event’ is defined in section 1.1.2—2 of the Code.</w:t>
      </w:r>
      <w:r w:rsidR="00F63DF3">
        <w:t xml:space="preserve"> </w:t>
      </w:r>
      <w:r w:rsidR="006351A7">
        <w:t xml:space="preserve">‘Food business’ and ‘handling’ are </w:t>
      </w:r>
      <w:r w:rsidR="00810C01">
        <w:t xml:space="preserve">defined in </w:t>
      </w:r>
      <w:r w:rsidR="00423CBA">
        <w:t xml:space="preserve">clause 2 of </w:t>
      </w:r>
      <w:r w:rsidR="00810C01">
        <w:t>S</w:t>
      </w:r>
      <w:r w:rsidR="006351A7">
        <w:t xml:space="preserve">tandard 3.1.1. </w:t>
      </w:r>
      <w:r w:rsidR="005A5B51">
        <w:t xml:space="preserve">What constitutes a ‘prescribed activity’ is set out in </w:t>
      </w:r>
      <w:r w:rsidR="005A5B51">
        <w:rPr>
          <w:bCs/>
        </w:rPr>
        <w:t>proposed section 3.2.2A—5 (see above).</w:t>
      </w:r>
    </w:p>
    <w:p w14:paraId="6918D763" w14:textId="7F0570DD" w:rsidR="00A42A1A" w:rsidRPr="00A42A1A" w:rsidRDefault="00A42A1A" w:rsidP="00A42A1A">
      <w:pPr>
        <w:spacing w:after="240"/>
        <w:rPr>
          <w:bCs/>
        </w:rPr>
      </w:pPr>
      <w:r w:rsidRPr="00D416D3">
        <w:rPr>
          <w:b/>
        </w:rPr>
        <w:t>Proposed subsection 3.2.2A—12(2)</w:t>
      </w:r>
      <w:r>
        <w:t xml:space="preserve"> requires t</w:t>
      </w:r>
      <w:r w:rsidRPr="00A42A1A">
        <w:rPr>
          <w:bCs/>
        </w:rPr>
        <w:t xml:space="preserve">he food business </w:t>
      </w:r>
      <w:r w:rsidR="008F5643">
        <w:rPr>
          <w:bCs/>
        </w:rPr>
        <w:t xml:space="preserve">concerned </w:t>
      </w:r>
      <w:r w:rsidRPr="00A42A1A">
        <w:rPr>
          <w:bCs/>
        </w:rPr>
        <w:t xml:space="preserve">must keep a record required by </w:t>
      </w:r>
      <w:r w:rsidR="008F5643">
        <w:rPr>
          <w:bCs/>
        </w:rPr>
        <w:t xml:space="preserve">proposed </w:t>
      </w:r>
      <w:r w:rsidRPr="00A42A1A">
        <w:rPr>
          <w:bCs/>
        </w:rPr>
        <w:t xml:space="preserve">subsection </w:t>
      </w:r>
      <w:r w:rsidR="008F5643">
        <w:t>3.2.2A—12</w:t>
      </w:r>
      <w:r w:rsidRPr="00A42A1A">
        <w:rPr>
          <w:bCs/>
        </w:rPr>
        <w:t xml:space="preserve">(1) for </w:t>
      </w:r>
      <w:r w:rsidR="008F5643">
        <w:rPr>
          <w:bCs/>
        </w:rPr>
        <w:t>three</w:t>
      </w:r>
      <w:r w:rsidRPr="00A42A1A">
        <w:rPr>
          <w:bCs/>
        </w:rPr>
        <w:t xml:space="preserve"> months after the business makes the record.</w:t>
      </w:r>
    </w:p>
    <w:p w14:paraId="346A6D5C" w14:textId="5BB120BA" w:rsidR="00E573FA" w:rsidRDefault="008F5643" w:rsidP="00A42A1A">
      <w:pPr>
        <w:spacing w:after="240"/>
        <w:rPr>
          <w:bCs/>
        </w:rPr>
      </w:pPr>
      <w:r w:rsidRPr="00D416D3">
        <w:rPr>
          <w:b/>
          <w:bCs/>
        </w:rPr>
        <w:t xml:space="preserve">Proposed </w:t>
      </w:r>
      <w:r w:rsidRPr="00D416D3">
        <w:rPr>
          <w:b/>
        </w:rPr>
        <w:t>subsection 3.2.2A—12(3)</w:t>
      </w:r>
      <w:r>
        <w:t xml:space="preserve"> provides that </w:t>
      </w:r>
      <w:r w:rsidR="00480BFA">
        <w:t xml:space="preserve">the requirement in proposed </w:t>
      </w:r>
      <w:r>
        <w:rPr>
          <w:bCs/>
        </w:rPr>
        <w:t>s</w:t>
      </w:r>
      <w:r w:rsidR="00A42A1A" w:rsidRPr="00A42A1A">
        <w:rPr>
          <w:bCs/>
        </w:rPr>
        <w:t xml:space="preserve">ubsection </w:t>
      </w:r>
      <w:r>
        <w:t>3.2.2A—12</w:t>
      </w:r>
      <w:r w:rsidR="00A42A1A" w:rsidRPr="00A42A1A">
        <w:rPr>
          <w:bCs/>
        </w:rPr>
        <w:t>(1) does not apply to a food business that can demonstrate to the</w:t>
      </w:r>
      <w:r w:rsidR="00BE57E1">
        <w:rPr>
          <w:bCs/>
        </w:rPr>
        <w:t xml:space="preserve"> reasonable satisfaction of an </w:t>
      </w:r>
      <w:r w:rsidR="00A42A1A" w:rsidRPr="00A42A1A">
        <w:rPr>
          <w:bCs/>
        </w:rPr>
        <w:t>authorised officer</w:t>
      </w:r>
      <w:r w:rsidR="00553B18">
        <w:rPr>
          <w:bCs/>
        </w:rPr>
        <w:t>,</w:t>
      </w:r>
      <w:r w:rsidR="00A42A1A" w:rsidRPr="00A42A1A">
        <w:rPr>
          <w:bCs/>
        </w:rPr>
        <w:t xml:space="preserve"> on request</w:t>
      </w:r>
      <w:r w:rsidR="00BE57E1">
        <w:rPr>
          <w:bCs/>
        </w:rPr>
        <w:t>,</w:t>
      </w:r>
      <w:r w:rsidR="00A42A1A" w:rsidRPr="00A42A1A">
        <w:rPr>
          <w:bCs/>
        </w:rPr>
        <w:t xml:space="preserve"> that the business has complied with each of the prescribed provisions</w:t>
      </w:r>
      <w:r w:rsidR="00E573FA">
        <w:rPr>
          <w:bCs/>
        </w:rPr>
        <w:t>.</w:t>
      </w:r>
    </w:p>
    <w:p w14:paraId="1D24772F" w14:textId="7D5C65FF" w:rsidR="00E573FA" w:rsidRDefault="00553B18" w:rsidP="00A42A1A">
      <w:pPr>
        <w:spacing w:after="240"/>
        <w:rPr>
          <w:bCs/>
        </w:rPr>
      </w:pPr>
      <w:r>
        <w:rPr>
          <w:bCs/>
        </w:rPr>
        <w:t xml:space="preserve">‘Authorised officer’ </w:t>
      </w:r>
      <w:r>
        <w:t>is defined in section 1.1.2—2 of the Code.</w:t>
      </w:r>
      <w:r w:rsidR="00F63DF3">
        <w:t xml:space="preserve"> </w:t>
      </w:r>
      <w:r w:rsidR="00E573FA">
        <w:t>‘Prescribed provisions’ are listed in proposed subsection 3.2.2A—12(4) (see below).</w:t>
      </w:r>
    </w:p>
    <w:p w14:paraId="08BD3E07" w14:textId="79015F80" w:rsidR="00BE57E1" w:rsidRDefault="00BE57E1" w:rsidP="00BE57E1">
      <w:pPr>
        <w:spacing w:after="240"/>
      </w:pPr>
      <w:r>
        <w:t xml:space="preserve">The intent of proposed subsection 3.2.2A—12(3) is that businesses engage with authorised officers to determine appropriate alternatives. These could include, for example, providing standard operating procedures or physically demonstrating an activity (e.g. sanitising a piece of equipment), to the reasonable satisfaction of an authorised officer. </w:t>
      </w:r>
    </w:p>
    <w:p w14:paraId="58EAFEE8" w14:textId="4A3FBA93" w:rsidR="00A42A1A" w:rsidRPr="00A42A1A" w:rsidRDefault="008F5643" w:rsidP="00A42A1A">
      <w:pPr>
        <w:spacing w:after="240"/>
        <w:rPr>
          <w:bCs/>
        </w:rPr>
      </w:pPr>
      <w:r w:rsidRPr="00D416D3">
        <w:rPr>
          <w:b/>
          <w:bCs/>
        </w:rPr>
        <w:t xml:space="preserve">Proposed </w:t>
      </w:r>
      <w:r w:rsidRPr="00D416D3">
        <w:rPr>
          <w:b/>
        </w:rPr>
        <w:t>subsection 3.2.2A—12(4)</w:t>
      </w:r>
      <w:r>
        <w:t xml:space="preserve"> </w:t>
      </w:r>
      <w:r>
        <w:rPr>
          <w:bCs/>
        </w:rPr>
        <w:t xml:space="preserve">lists </w:t>
      </w:r>
      <w:r w:rsidR="00A42A1A" w:rsidRPr="00A42A1A">
        <w:rPr>
          <w:bCs/>
        </w:rPr>
        <w:t xml:space="preserve">the prescribed provisions </w:t>
      </w:r>
      <w:r>
        <w:rPr>
          <w:bCs/>
        </w:rPr>
        <w:t>f</w:t>
      </w:r>
      <w:r w:rsidRPr="00A42A1A">
        <w:rPr>
          <w:bCs/>
        </w:rPr>
        <w:t xml:space="preserve">or the purposes </w:t>
      </w:r>
      <w:r w:rsidRPr="00A42A1A">
        <w:rPr>
          <w:bCs/>
        </w:rPr>
        <w:lastRenderedPageBreak/>
        <w:t xml:space="preserve">of </w:t>
      </w:r>
      <w:r>
        <w:rPr>
          <w:bCs/>
        </w:rPr>
        <w:t>proposed</w:t>
      </w:r>
      <w:r w:rsidRPr="00A42A1A">
        <w:rPr>
          <w:bCs/>
        </w:rPr>
        <w:t xml:space="preserve"> section</w:t>
      </w:r>
      <w:r>
        <w:rPr>
          <w:bCs/>
        </w:rPr>
        <w:t xml:space="preserve"> 3.2.2A—12</w:t>
      </w:r>
      <w:r w:rsidR="00AC77EC">
        <w:rPr>
          <w:bCs/>
        </w:rPr>
        <w:t xml:space="preserve">. </w:t>
      </w:r>
      <w:r w:rsidR="00E573FA">
        <w:rPr>
          <w:bCs/>
        </w:rPr>
        <w:t>‘P</w:t>
      </w:r>
      <w:r w:rsidR="00AC77EC">
        <w:rPr>
          <w:bCs/>
        </w:rPr>
        <w:t>rescribed provisions</w:t>
      </w:r>
      <w:r w:rsidR="00E573FA">
        <w:rPr>
          <w:bCs/>
        </w:rPr>
        <w:t>’</w:t>
      </w:r>
      <w:r w:rsidR="00AC77EC">
        <w:rPr>
          <w:bCs/>
        </w:rPr>
        <w:t xml:space="preserve"> are the following provisions in Standard 3.2.2:</w:t>
      </w:r>
    </w:p>
    <w:p w14:paraId="4A41E911" w14:textId="4EF4CAE0" w:rsidR="00A42A1A" w:rsidRPr="00605234" w:rsidRDefault="00A42A1A" w:rsidP="00D41B5E">
      <w:pPr>
        <w:pStyle w:val="ListParagraph"/>
        <w:numPr>
          <w:ilvl w:val="0"/>
          <w:numId w:val="67"/>
        </w:numPr>
        <w:spacing w:after="240"/>
        <w:rPr>
          <w:bCs/>
        </w:rPr>
      </w:pPr>
      <w:r w:rsidRPr="00605234">
        <w:rPr>
          <w:bCs/>
        </w:rPr>
        <w:t>sub</w:t>
      </w:r>
      <w:r w:rsidR="002A7C1E">
        <w:rPr>
          <w:bCs/>
        </w:rPr>
        <w:t>clause</w:t>
      </w:r>
      <w:r w:rsidRPr="00605234">
        <w:rPr>
          <w:bCs/>
        </w:rPr>
        <w:t xml:space="preserve"> 5(3); </w:t>
      </w:r>
    </w:p>
    <w:p w14:paraId="5D970266" w14:textId="1FA39035" w:rsidR="00A42A1A" w:rsidRPr="00605234" w:rsidRDefault="00A42A1A" w:rsidP="00D41B5E">
      <w:pPr>
        <w:pStyle w:val="ListParagraph"/>
        <w:numPr>
          <w:ilvl w:val="0"/>
          <w:numId w:val="67"/>
        </w:numPr>
        <w:spacing w:after="240"/>
        <w:rPr>
          <w:bCs/>
        </w:rPr>
      </w:pPr>
      <w:r w:rsidRPr="00605234">
        <w:rPr>
          <w:bCs/>
        </w:rPr>
        <w:t>paragraph 6(2)(a);</w:t>
      </w:r>
    </w:p>
    <w:p w14:paraId="0543D900" w14:textId="73A39030" w:rsidR="00A42A1A" w:rsidRPr="007841CE" w:rsidRDefault="00A42A1A" w:rsidP="00D41B5E">
      <w:pPr>
        <w:pStyle w:val="ListParagraph"/>
        <w:numPr>
          <w:ilvl w:val="0"/>
          <w:numId w:val="67"/>
        </w:numPr>
        <w:spacing w:after="240"/>
        <w:rPr>
          <w:bCs/>
        </w:rPr>
      </w:pPr>
      <w:r w:rsidRPr="00605234">
        <w:rPr>
          <w:bCs/>
        </w:rPr>
        <w:t>paragraph 7(1)(b)(ii);</w:t>
      </w:r>
    </w:p>
    <w:p w14:paraId="16E89597" w14:textId="767788BF" w:rsidR="00A42A1A" w:rsidRPr="002A7C1E" w:rsidRDefault="00A42A1A" w:rsidP="00D41B5E">
      <w:pPr>
        <w:pStyle w:val="ListParagraph"/>
        <w:numPr>
          <w:ilvl w:val="0"/>
          <w:numId w:val="67"/>
        </w:numPr>
        <w:spacing w:after="240"/>
        <w:rPr>
          <w:bCs/>
        </w:rPr>
      </w:pPr>
      <w:r w:rsidRPr="002A7C1E">
        <w:rPr>
          <w:bCs/>
        </w:rPr>
        <w:t>sub</w:t>
      </w:r>
      <w:r w:rsidR="002A7C1E">
        <w:rPr>
          <w:bCs/>
        </w:rPr>
        <w:t>clause</w:t>
      </w:r>
      <w:r w:rsidRPr="002A7C1E">
        <w:rPr>
          <w:bCs/>
        </w:rPr>
        <w:t xml:space="preserve"> 7(2);</w:t>
      </w:r>
    </w:p>
    <w:p w14:paraId="73BF8B5B" w14:textId="56FCCEC4" w:rsidR="00A42A1A" w:rsidRPr="002A7C1E" w:rsidRDefault="00A42A1A" w:rsidP="00D41B5E">
      <w:pPr>
        <w:pStyle w:val="ListParagraph"/>
        <w:numPr>
          <w:ilvl w:val="0"/>
          <w:numId w:val="67"/>
        </w:numPr>
        <w:spacing w:after="240"/>
        <w:rPr>
          <w:bCs/>
        </w:rPr>
      </w:pPr>
      <w:r w:rsidRPr="002A7C1E">
        <w:rPr>
          <w:bCs/>
        </w:rPr>
        <w:t>sub</w:t>
      </w:r>
      <w:r w:rsidR="002A7C1E">
        <w:rPr>
          <w:bCs/>
        </w:rPr>
        <w:t>clause</w:t>
      </w:r>
      <w:r w:rsidRPr="002A7C1E">
        <w:rPr>
          <w:bCs/>
        </w:rPr>
        <w:t xml:space="preserve"> 7(3);</w:t>
      </w:r>
    </w:p>
    <w:p w14:paraId="16522988" w14:textId="5C260A7A" w:rsidR="00A42A1A" w:rsidRPr="002A7C1E" w:rsidRDefault="00A42A1A" w:rsidP="00D41B5E">
      <w:pPr>
        <w:pStyle w:val="ListParagraph"/>
        <w:numPr>
          <w:ilvl w:val="0"/>
          <w:numId w:val="67"/>
        </w:numPr>
        <w:spacing w:after="240"/>
        <w:rPr>
          <w:bCs/>
        </w:rPr>
      </w:pPr>
      <w:r w:rsidRPr="002A7C1E">
        <w:rPr>
          <w:bCs/>
        </w:rPr>
        <w:t>sub</w:t>
      </w:r>
      <w:r w:rsidR="002A7C1E">
        <w:rPr>
          <w:bCs/>
        </w:rPr>
        <w:t>clause</w:t>
      </w:r>
      <w:r w:rsidRPr="002A7C1E">
        <w:rPr>
          <w:bCs/>
        </w:rPr>
        <w:t xml:space="preserve"> 7(4);</w:t>
      </w:r>
    </w:p>
    <w:p w14:paraId="69100977" w14:textId="2720CDC2" w:rsidR="00A42A1A" w:rsidRPr="00B17A72" w:rsidRDefault="00A42A1A" w:rsidP="00D41B5E">
      <w:pPr>
        <w:pStyle w:val="ListParagraph"/>
        <w:numPr>
          <w:ilvl w:val="0"/>
          <w:numId w:val="67"/>
        </w:numPr>
        <w:spacing w:after="240"/>
        <w:rPr>
          <w:bCs/>
        </w:rPr>
      </w:pPr>
      <w:r w:rsidRPr="00B17A72">
        <w:rPr>
          <w:bCs/>
        </w:rPr>
        <w:t>paragraph 8(5)(a);</w:t>
      </w:r>
    </w:p>
    <w:p w14:paraId="274809E0" w14:textId="5F57BEEE" w:rsidR="00A42A1A" w:rsidRPr="003E685B" w:rsidRDefault="00A42A1A" w:rsidP="00D41B5E">
      <w:pPr>
        <w:pStyle w:val="ListParagraph"/>
        <w:numPr>
          <w:ilvl w:val="0"/>
          <w:numId w:val="67"/>
        </w:numPr>
        <w:spacing w:after="240"/>
      </w:pPr>
      <w:r w:rsidRPr="003E685B">
        <w:t>paragraph 10(b); and</w:t>
      </w:r>
    </w:p>
    <w:p w14:paraId="66B7AA92" w14:textId="297F5BE3" w:rsidR="00A42A1A" w:rsidRPr="002A7C1E" w:rsidRDefault="002A7C1E" w:rsidP="00D41B5E">
      <w:pPr>
        <w:pStyle w:val="ListParagraph"/>
        <w:numPr>
          <w:ilvl w:val="0"/>
          <w:numId w:val="67"/>
        </w:numPr>
        <w:spacing w:after="240"/>
        <w:rPr>
          <w:bCs/>
        </w:rPr>
      </w:pPr>
      <w:r>
        <w:rPr>
          <w:bCs/>
        </w:rPr>
        <w:t>clause</w:t>
      </w:r>
      <w:r w:rsidR="00A42A1A" w:rsidRPr="002A7C1E">
        <w:rPr>
          <w:bCs/>
        </w:rPr>
        <w:t xml:space="preserve"> 20.</w:t>
      </w:r>
    </w:p>
    <w:p w14:paraId="26A6C322" w14:textId="46481A42" w:rsidR="00E573FA" w:rsidRDefault="00BE57E1" w:rsidP="00F84A9E">
      <w:pPr>
        <w:spacing w:after="240"/>
      </w:pPr>
      <w:r>
        <w:rPr>
          <w:bCs/>
        </w:rPr>
        <w:t>The prescribed provisions relate to</w:t>
      </w:r>
      <w:r w:rsidR="00412D71" w:rsidRPr="00AF139D">
        <w:t xml:space="preserve"> </w:t>
      </w:r>
      <w:r>
        <w:t xml:space="preserve">such matters as </w:t>
      </w:r>
      <w:r w:rsidR="00412D71" w:rsidRPr="00AF139D">
        <w:t>temperature control</w:t>
      </w:r>
      <w:r w:rsidR="00AB276B">
        <w:t xml:space="preserve"> (during food receipt, storage, </w:t>
      </w:r>
      <w:r w:rsidR="00EC7AD1">
        <w:t xml:space="preserve">cooking/reheating, </w:t>
      </w:r>
      <w:r w:rsidR="00AB276B">
        <w:t>display and transport)</w:t>
      </w:r>
      <w:r w:rsidR="00412D71" w:rsidRPr="00AF139D">
        <w:t>, food processing and cleaning/sanitising</w:t>
      </w:r>
      <w:r w:rsidR="00480BFA">
        <w:t>,</w:t>
      </w:r>
      <w:r w:rsidR="00412D71" w:rsidRPr="00AF139D">
        <w:t xml:space="preserve"> when </w:t>
      </w:r>
      <w:r w:rsidR="00412D71">
        <w:t xml:space="preserve">engaging in a prescribed activity. </w:t>
      </w:r>
    </w:p>
    <w:p w14:paraId="3DC26438" w14:textId="2179600A" w:rsidR="001225BB" w:rsidRDefault="00BC7FA2" w:rsidP="00F84A9E">
      <w:pPr>
        <w:spacing w:after="240"/>
      </w:pPr>
      <w:r>
        <w:t>‘Process’, in relation to food, is defined in proposed section 3.2.2A—2 (see above).</w:t>
      </w:r>
    </w:p>
    <w:p w14:paraId="0C27CEC8" w14:textId="25864405" w:rsidR="005558C7" w:rsidRDefault="00E23FC3" w:rsidP="00E23FC3">
      <w:pPr>
        <w:spacing w:after="240"/>
        <w:rPr>
          <w:bCs/>
          <w:kern w:val="32"/>
        </w:rPr>
      </w:pPr>
      <w:r>
        <w:t xml:space="preserve">Only category one businesses </w:t>
      </w:r>
      <w:r w:rsidR="006C09DE">
        <w:t xml:space="preserve">(as defined in </w:t>
      </w:r>
      <w:r w:rsidR="00183D99">
        <w:t xml:space="preserve">proposed section 3.2.2A—6 above) </w:t>
      </w:r>
      <w:r w:rsidR="00D820E4">
        <w:t>would have to</w:t>
      </w:r>
      <w:r>
        <w:t xml:space="preserve"> comply with these </w:t>
      </w:r>
      <w:r w:rsidR="00D820E4">
        <w:t xml:space="preserve">substantiation </w:t>
      </w:r>
      <w:r>
        <w:t>requirements (see proposed section 3.2.2A—8).</w:t>
      </w:r>
      <w:r w:rsidR="006C518E">
        <w:t xml:space="preserve"> </w:t>
      </w:r>
    </w:p>
    <w:p w14:paraId="64B49FAA" w14:textId="28A125E2" w:rsidR="00E23FC3" w:rsidRDefault="005558C7" w:rsidP="00E23FC3">
      <w:pPr>
        <w:spacing w:after="240"/>
        <w:rPr>
          <w:bCs/>
          <w:kern w:val="32"/>
        </w:rPr>
      </w:pPr>
      <w:r>
        <w:rPr>
          <w:bCs/>
          <w:kern w:val="32"/>
        </w:rPr>
        <w:t>However, i</w:t>
      </w:r>
      <w:r w:rsidR="006C518E">
        <w:rPr>
          <w:bCs/>
          <w:kern w:val="32"/>
        </w:rPr>
        <w:t xml:space="preserve">f a business </w:t>
      </w:r>
      <w:r w:rsidR="00A36851">
        <w:rPr>
          <w:bCs/>
          <w:kern w:val="32"/>
        </w:rPr>
        <w:t>engages in</w:t>
      </w:r>
      <w:r w:rsidR="00E573FA">
        <w:rPr>
          <w:bCs/>
          <w:kern w:val="32"/>
        </w:rPr>
        <w:t xml:space="preserve"> activities of </w:t>
      </w:r>
      <w:r w:rsidR="00183D99">
        <w:rPr>
          <w:bCs/>
          <w:kern w:val="32"/>
        </w:rPr>
        <w:t xml:space="preserve">both a category one and category two business </w:t>
      </w:r>
      <w:r w:rsidR="00EB1805">
        <w:t xml:space="preserve">(see proposed sections 3.2.2A—6 and 3.2.2A—7 </w:t>
      </w:r>
      <w:r w:rsidR="00E573FA">
        <w:t>respectively</w:t>
      </w:r>
      <w:r w:rsidR="00F1161C">
        <w:t>,</w:t>
      </w:r>
      <w:r w:rsidR="00E573FA">
        <w:t xml:space="preserve"> </w:t>
      </w:r>
      <w:r w:rsidR="00EB1805">
        <w:t>above)</w:t>
      </w:r>
      <w:r w:rsidR="006C518E">
        <w:rPr>
          <w:bCs/>
          <w:kern w:val="32"/>
        </w:rPr>
        <w:t xml:space="preserve">, then </w:t>
      </w:r>
      <w:r w:rsidR="00E573FA">
        <w:rPr>
          <w:bCs/>
          <w:kern w:val="32"/>
        </w:rPr>
        <w:t>th</w:t>
      </w:r>
      <w:r w:rsidR="00D820E4">
        <w:rPr>
          <w:bCs/>
          <w:kern w:val="32"/>
        </w:rPr>
        <w:t>at</w:t>
      </w:r>
      <w:r w:rsidR="00E573FA">
        <w:rPr>
          <w:bCs/>
          <w:kern w:val="32"/>
        </w:rPr>
        <w:t xml:space="preserve"> business</w:t>
      </w:r>
      <w:r w:rsidR="00183D99">
        <w:rPr>
          <w:bCs/>
          <w:kern w:val="32"/>
        </w:rPr>
        <w:t xml:space="preserve"> </w:t>
      </w:r>
      <w:r w:rsidR="00E573FA">
        <w:rPr>
          <w:bCs/>
          <w:kern w:val="32"/>
        </w:rPr>
        <w:t>would</w:t>
      </w:r>
      <w:r w:rsidR="00183D99">
        <w:rPr>
          <w:bCs/>
          <w:kern w:val="32"/>
        </w:rPr>
        <w:t xml:space="preserve"> </w:t>
      </w:r>
      <w:r w:rsidR="0077494A">
        <w:rPr>
          <w:bCs/>
          <w:kern w:val="32"/>
        </w:rPr>
        <w:t xml:space="preserve">also </w:t>
      </w:r>
      <w:r w:rsidR="00E573FA">
        <w:rPr>
          <w:bCs/>
          <w:kern w:val="32"/>
        </w:rPr>
        <w:t xml:space="preserve">have to </w:t>
      </w:r>
      <w:r w:rsidR="00183D99">
        <w:rPr>
          <w:bCs/>
          <w:kern w:val="32"/>
        </w:rPr>
        <w:t xml:space="preserve">comply with </w:t>
      </w:r>
      <w:r w:rsidR="006C518E">
        <w:rPr>
          <w:bCs/>
          <w:kern w:val="32"/>
        </w:rPr>
        <w:t>the</w:t>
      </w:r>
      <w:r w:rsidR="003264A9">
        <w:rPr>
          <w:bCs/>
          <w:kern w:val="32"/>
        </w:rPr>
        <w:t>se</w:t>
      </w:r>
      <w:r w:rsidR="006C518E">
        <w:rPr>
          <w:bCs/>
          <w:kern w:val="32"/>
        </w:rPr>
        <w:t xml:space="preserve"> </w:t>
      </w:r>
      <w:r w:rsidR="00D820E4">
        <w:rPr>
          <w:bCs/>
          <w:kern w:val="32"/>
        </w:rPr>
        <w:t xml:space="preserve">substantiation </w:t>
      </w:r>
      <w:r w:rsidR="006C518E">
        <w:rPr>
          <w:bCs/>
          <w:kern w:val="32"/>
        </w:rPr>
        <w:t>requirements.</w:t>
      </w:r>
    </w:p>
    <w:p w14:paraId="5E7E6E18" w14:textId="77777777" w:rsidR="009C4F9E" w:rsidRDefault="009C4F9E" w:rsidP="00570435">
      <w:pPr>
        <w:spacing w:after="240"/>
        <w:rPr>
          <w:bCs/>
          <w:kern w:val="32"/>
        </w:rPr>
      </w:pPr>
      <w:r>
        <w:rPr>
          <w:b/>
          <w:i/>
        </w:rPr>
        <w:t>Transitional arrangements</w:t>
      </w:r>
    </w:p>
    <w:p w14:paraId="7C986D3D" w14:textId="117897C6" w:rsidR="009C4F9E" w:rsidRPr="00570435" w:rsidRDefault="00490327" w:rsidP="00570435">
      <w:pPr>
        <w:spacing w:after="240"/>
        <w:rPr>
          <w:kern w:val="32"/>
        </w:rPr>
      </w:pPr>
      <w:r>
        <w:rPr>
          <w:lang w:val="en-AU" w:eastAsia="en-GB" w:bidi="ar-SA"/>
        </w:rPr>
        <w:t>The proposed notice for draft Standard 3.2.2A states that the Standard commences on a date 12 months after gazettal. This means that, if</w:t>
      </w:r>
      <w:r w:rsidR="009C4F9E">
        <w:rPr>
          <w:lang w:val="en-AU" w:eastAsia="en-GB" w:bidi="ar-SA"/>
        </w:rPr>
        <w:t xml:space="preserve"> approved, Standard 3.2.2A will commence 12 months after its date of gazettal</w:t>
      </w:r>
      <w:r>
        <w:rPr>
          <w:lang w:val="en-AU" w:eastAsia="en-GB" w:bidi="ar-SA"/>
        </w:rPr>
        <w:t xml:space="preserve"> and that </w:t>
      </w:r>
      <w:r w:rsidR="009C4F9E">
        <w:rPr>
          <w:lang w:val="en-AU" w:eastAsia="en-GB" w:bidi="ar-SA"/>
        </w:rPr>
        <w:t xml:space="preserve">relevant businesses will have a 12 month period </w:t>
      </w:r>
      <w:r w:rsidR="006C7F69">
        <w:rPr>
          <w:lang w:val="en-AU" w:eastAsia="en-GB" w:bidi="ar-SA"/>
        </w:rPr>
        <w:t xml:space="preserve">from gazettal </w:t>
      </w:r>
      <w:r w:rsidR="009C4F9E">
        <w:rPr>
          <w:lang w:val="en-AU" w:eastAsia="en-GB" w:bidi="ar-SA"/>
        </w:rPr>
        <w:t>in which to prepare for that Standard’s requirements.</w:t>
      </w:r>
    </w:p>
    <w:p w14:paraId="13A0A732" w14:textId="77777777" w:rsidR="009C4F9E" w:rsidRDefault="009C4F9E" w:rsidP="00E23FC3">
      <w:pPr>
        <w:spacing w:after="240"/>
        <w:rPr>
          <w:bCs/>
          <w:kern w:val="32"/>
        </w:rPr>
      </w:pPr>
    </w:p>
    <w:p w14:paraId="4E04D2FB" w14:textId="140A6A2B" w:rsidR="007E7B67" w:rsidRDefault="007E7B67" w:rsidP="00E23FC3">
      <w:pPr>
        <w:spacing w:after="240"/>
      </w:pPr>
    </w:p>
    <w:p w14:paraId="6E97A8E5" w14:textId="10E581A6" w:rsidR="002C1C9D" w:rsidRDefault="002C1C9D" w:rsidP="00E23FC3">
      <w:pPr>
        <w:spacing w:after="240"/>
      </w:pPr>
    </w:p>
    <w:p w14:paraId="7EB42367" w14:textId="77777777" w:rsidR="002C1C9D" w:rsidRDefault="002C1C9D">
      <w:pPr>
        <w:widowControl/>
      </w:pPr>
      <w:r>
        <w:br w:type="page"/>
      </w:r>
    </w:p>
    <w:p w14:paraId="2EDD8FDA" w14:textId="13B73C4B" w:rsidR="002C1C9D" w:rsidRPr="002C1C9D" w:rsidRDefault="002C1C9D" w:rsidP="002C1C9D">
      <w:pPr>
        <w:rPr>
          <w:b/>
          <w:szCs w:val="22"/>
        </w:rPr>
      </w:pPr>
      <w:r w:rsidRPr="002C1C9D">
        <w:rPr>
          <w:b/>
          <w:szCs w:val="22"/>
        </w:rPr>
        <w:lastRenderedPageBreak/>
        <w:t>Food Standards (</w:t>
      </w:r>
      <w:r w:rsidRPr="002C1C9D">
        <w:rPr>
          <w:b/>
          <w:szCs w:val="22"/>
          <w:lang w:eastAsia="en-GB" w:bidi="ar-SA"/>
        </w:rPr>
        <w:t>Proposal P1053 – Food Safety Management Tools – Consequential Amendments</w:t>
      </w:r>
      <w:r w:rsidRPr="002C1C9D">
        <w:rPr>
          <w:b/>
          <w:szCs w:val="22"/>
          <w:lang w:val="en-AU" w:eastAsia="en-GB" w:bidi="ar-SA"/>
        </w:rPr>
        <w:t>) Variation</w:t>
      </w:r>
    </w:p>
    <w:p w14:paraId="04E46109" w14:textId="77777777" w:rsidR="002C1C9D" w:rsidRDefault="002C1C9D" w:rsidP="002C1C9D"/>
    <w:p w14:paraId="486B4AA5" w14:textId="77777777" w:rsidR="002C1C9D" w:rsidRDefault="002C1C9D" w:rsidP="002C1C9D">
      <w:pPr>
        <w:rPr>
          <w:b/>
          <w:lang w:val="en-AU" w:eastAsia="en-GB" w:bidi="ar-SA"/>
        </w:rPr>
      </w:pPr>
      <w:r>
        <w:rPr>
          <w:b/>
          <w:lang w:val="en-AU" w:eastAsia="en-GB" w:bidi="ar-SA"/>
        </w:rPr>
        <w:t>1.</w:t>
      </w:r>
      <w:r>
        <w:rPr>
          <w:b/>
          <w:lang w:val="en-AU" w:eastAsia="en-GB" w:bidi="ar-SA"/>
        </w:rPr>
        <w:tab/>
        <w:t>Authority</w:t>
      </w:r>
    </w:p>
    <w:p w14:paraId="571B7481" w14:textId="588F9426" w:rsidR="002C1C9D" w:rsidRDefault="002C1C9D" w:rsidP="002C1C9D">
      <w:pPr>
        <w:rPr>
          <w:lang w:val="en-AU" w:eastAsia="en-GB" w:bidi="ar-SA"/>
        </w:rPr>
      </w:pPr>
    </w:p>
    <w:p w14:paraId="58CD5ACB" w14:textId="77777777" w:rsidR="002C1C9D" w:rsidRDefault="002C1C9D" w:rsidP="002C1C9D">
      <w:pPr>
        <w:spacing w:after="240"/>
      </w:pPr>
      <w:r>
        <w:t xml:space="preserve">Section 13 of the </w:t>
      </w:r>
      <w:r w:rsidRPr="007F01FC">
        <w:rPr>
          <w:i/>
        </w:rPr>
        <w:t>Food Standards Australia New Zealand Act 1991</w:t>
      </w:r>
      <w:r>
        <w:t xml:space="preserve"> (the FSANZ Act) provides that the functions of Food Standards Australia New Zealand (the Authority</w:t>
      </w:r>
      <w:r w:rsidDel="008D0E05">
        <w:t>)</w:t>
      </w:r>
      <w:r>
        <w:t xml:space="preserve"> include the development of standards and variations of standards for inclusion in the </w:t>
      </w:r>
      <w:r w:rsidRPr="007F01FC">
        <w:rPr>
          <w:i/>
        </w:rPr>
        <w:t>Australia New Zealand Food Standards Code</w:t>
      </w:r>
      <w:r>
        <w:t xml:space="preserve"> (the Code).</w:t>
      </w:r>
    </w:p>
    <w:p w14:paraId="5920F4A9" w14:textId="77777777" w:rsidR="002C1C9D" w:rsidRDefault="002C1C9D" w:rsidP="002C1C9D">
      <w:pPr>
        <w:spacing w:after="240"/>
      </w:pPr>
      <w: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14:paraId="4FAB84C9" w14:textId="302F6873" w:rsidR="002C1C9D" w:rsidRDefault="002C1C9D" w:rsidP="00570435">
      <w:pPr>
        <w:rPr>
          <w:lang w:val="en-AU" w:eastAsia="en-GB" w:bidi="ar-SA"/>
        </w:rPr>
      </w:pPr>
      <w:r>
        <w:t>The Authority prepared Proposal P1053 to consider mandating the use of three food safety management tools. The Authority considered the Proposal in accordance with Division 2 of Part 3 and has prepared a draft Standard</w:t>
      </w:r>
      <w:r w:rsidRPr="002C1C9D">
        <w:rPr>
          <w:rFonts w:eastAsia="Calibri" w:cs="Arial"/>
          <w:bCs/>
          <w:szCs w:val="22"/>
          <w:lang w:val="en-AU" w:bidi="ar-SA"/>
        </w:rPr>
        <w:t xml:space="preserve"> </w:t>
      </w:r>
      <w:r>
        <w:rPr>
          <w:rFonts w:eastAsia="Calibri" w:cs="Arial"/>
          <w:bCs/>
          <w:szCs w:val="22"/>
          <w:lang w:val="en-AU" w:bidi="ar-SA"/>
        </w:rPr>
        <w:t>and a draft consequential variation to Standard 1.1.1</w:t>
      </w:r>
      <w:r>
        <w:rPr>
          <w:lang w:val="en-AU" w:eastAsia="en-GB" w:bidi="ar-SA"/>
        </w:rPr>
        <w:t>.</w:t>
      </w:r>
    </w:p>
    <w:p w14:paraId="25C6E376" w14:textId="77777777" w:rsidR="002C1C9D" w:rsidRPr="00570435" w:rsidRDefault="002C1C9D" w:rsidP="00570435">
      <w:pPr>
        <w:rPr>
          <w:lang w:val="en-AU" w:eastAsia="en-GB" w:bidi="ar-SA"/>
        </w:rPr>
      </w:pPr>
    </w:p>
    <w:p w14:paraId="5FC85894" w14:textId="442E3216" w:rsidR="002C1C9D" w:rsidRDefault="002C1C9D" w:rsidP="00E23FC3">
      <w:pPr>
        <w:spacing w:after="240"/>
      </w:pPr>
      <w:r w:rsidRPr="00570435">
        <w:rPr>
          <w:b/>
        </w:rPr>
        <w:t>2.</w:t>
      </w:r>
      <w:r w:rsidRPr="00570435">
        <w:rPr>
          <w:b/>
        </w:rPr>
        <w:tab/>
        <w:t>Purpose</w:t>
      </w:r>
    </w:p>
    <w:p w14:paraId="3F0B8B0B" w14:textId="1CBECB68" w:rsidR="002C1C9D" w:rsidRDefault="002C1C9D" w:rsidP="00E23FC3">
      <w:pPr>
        <w:spacing w:after="240"/>
      </w:pPr>
      <w:r>
        <w:rPr>
          <w:szCs w:val="22"/>
          <w:lang w:val="en-AU" w:eastAsia="en-GB" w:bidi="ar-SA"/>
        </w:rPr>
        <w:t xml:space="preserve">The Authority has prepared a draft variation called </w:t>
      </w:r>
      <w:r w:rsidRPr="00570435">
        <w:rPr>
          <w:i/>
          <w:szCs w:val="22"/>
        </w:rPr>
        <w:t>Food Standards (</w:t>
      </w:r>
      <w:r w:rsidRPr="00570435">
        <w:rPr>
          <w:i/>
          <w:szCs w:val="22"/>
          <w:lang w:eastAsia="en-GB" w:bidi="ar-SA"/>
        </w:rPr>
        <w:t>Proposal P1053 – Food Safety Management Tools – Consequential Amendments</w:t>
      </w:r>
      <w:r w:rsidRPr="00570435">
        <w:rPr>
          <w:i/>
          <w:szCs w:val="22"/>
          <w:lang w:val="en-AU" w:eastAsia="en-GB" w:bidi="ar-SA"/>
        </w:rPr>
        <w:t>) Variation</w:t>
      </w:r>
      <w:r>
        <w:t xml:space="preserve"> </w:t>
      </w:r>
      <w:r>
        <w:rPr>
          <w:szCs w:val="22"/>
          <w:lang w:val="en-AU" w:eastAsia="en-GB" w:bidi="ar-SA"/>
        </w:rPr>
        <w:t xml:space="preserve">to make a consequential amendment to Standard 1.1.1 to </w:t>
      </w:r>
      <w:r w:rsidR="008E306B">
        <w:rPr>
          <w:szCs w:val="22"/>
          <w:lang w:val="en-AU" w:eastAsia="en-GB" w:bidi="ar-SA"/>
        </w:rPr>
        <w:t>account for the commencement of</w:t>
      </w:r>
      <w:r>
        <w:rPr>
          <w:szCs w:val="22"/>
          <w:lang w:val="en-AU" w:eastAsia="en-GB" w:bidi="ar-SA"/>
        </w:rPr>
        <w:t xml:space="preserve"> Standard 3.2.2A</w:t>
      </w:r>
    </w:p>
    <w:p w14:paraId="574673C0" w14:textId="77777777" w:rsidR="002C1C9D" w:rsidRDefault="002C1C9D" w:rsidP="002C1C9D">
      <w:pPr>
        <w:rPr>
          <w:b/>
          <w:lang w:val="en-AU" w:eastAsia="en-GB" w:bidi="ar-SA"/>
        </w:rPr>
      </w:pPr>
      <w:r>
        <w:rPr>
          <w:b/>
          <w:lang w:val="en-AU" w:eastAsia="en-GB" w:bidi="ar-SA"/>
        </w:rPr>
        <w:t>3.</w:t>
      </w:r>
      <w:r>
        <w:rPr>
          <w:b/>
          <w:lang w:val="en-AU" w:eastAsia="en-GB" w:bidi="ar-SA"/>
        </w:rPr>
        <w:tab/>
        <w:t>Documents incorporated by reference</w:t>
      </w:r>
    </w:p>
    <w:p w14:paraId="44D36D2F" w14:textId="77777777" w:rsidR="002C1C9D" w:rsidRDefault="002C1C9D" w:rsidP="002C1C9D">
      <w:pPr>
        <w:rPr>
          <w:lang w:val="en-AU" w:eastAsia="en-GB" w:bidi="ar-SA"/>
        </w:rPr>
      </w:pPr>
    </w:p>
    <w:p w14:paraId="74D29A20" w14:textId="77777777" w:rsidR="002C1C9D" w:rsidRDefault="002C1C9D" w:rsidP="002C1C9D">
      <w:pPr>
        <w:spacing w:after="240"/>
        <w:rPr>
          <w:b/>
        </w:rPr>
      </w:pPr>
      <w:r>
        <w:rPr>
          <w:rFonts w:eastAsia="Calibri" w:cs="Arial"/>
          <w:bCs/>
          <w:szCs w:val="22"/>
          <w:lang w:val="en-AU" w:bidi="ar-SA"/>
        </w:rPr>
        <w:t>The draft consequential variation does not incorporate any documents by reference</w:t>
      </w:r>
      <w:r>
        <w:rPr>
          <w:b/>
        </w:rPr>
        <w:t xml:space="preserve"> </w:t>
      </w:r>
    </w:p>
    <w:p w14:paraId="181A1F71" w14:textId="77777777" w:rsidR="002C1C9D" w:rsidRDefault="002C1C9D" w:rsidP="002C1C9D">
      <w:pPr>
        <w:rPr>
          <w:b/>
          <w:lang w:val="en-AU" w:eastAsia="en-GB" w:bidi="ar-SA"/>
        </w:rPr>
      </w:pPr>
      <w:r>
        <w:rPr>
          <w:b/>
          <w:lang w:val="en-AU" w:eastAsia="en-GB" w:bidi="ar-SA"/>
        </w:rPr>
        <w:t>4.</w:t>
      </w:r>
      <w:r>
        <w:rPr>
          <w:b/>
          <w:lang w:val="en-AU" w:eastAsia="en-GB" w:bidi="ar-SA"/>
        </w:rPr>
        <w:tab/>
        <w:t>Consultation</w:t>
      </w:r>
    </w:p>
    <w:p w14:paraId="3D34EF7E" w14:textId="77777777" w:rsidR="002C1C9D" w:rsidRDefault="002C1C9D" w:rsidP="002C1C9D">
      <w:pPr>
        <w:rPr>
          <w:lang w:val="en-AU" w:eastAsia="en-GB" w:bidi="ar-SA"/>
        </w:rPr>
      </w:pPr>
    </w:p>
    <w:p w14:paraId="150B076E" w14:textId="195A6529" w:rsidR="002C1C9D" w:rsidRDefault="002C1C9D" w:rsidP="002C1C9D">
      <w:pPr>
        <w:pStyle w:val="ListParagraph"/>
        <w:spacing w:after="240"/>
        <w:ind w:left="0"/>
      </w:pPr>
      <w:r>
        <w:lastRenderedPageBreak/>
        <w:t>In accordance with the procedure in Division 2 of Part 3 of the Act, the Authority’s consideration of Proposal P1053 will include one round of public consultation following an assessment and the preparation of a draft Standard</w:t>
      </w:r>
      <w:r w:rsidR="007C0CB3">
        <w:t xml:space="preserve">, </w:t>
      </w:r>
      <w:r w:rsidR="00412CE6">
        <w:t>a</w:t>
      </w:r>
      <w:r w:rsidR="007C0CB3">
        <w:t xml:space="preserve"> draft consequential variation</w:t>
      </w:r>
      <w:r>
        <w:t xml:space="preserve"> and </w:t>
      </w:r>
      <w:r w:rsidR="007C0CB3">
        <w:t xml:space="preserve">an associated assessment summary. </w:t>
      </w:r>
    </w:p>
    <w:p w14:paraId="6A0D5CC3" w14:textId="77777777" w:rsidR="002C1C9D" w:rsidRDefault="002C1C9D" w:rsidP="002C1C9D">
      <w:pPr>
        <w:spacing w:after="240"/>
      </w:pPr>
      <w:r>
        <w:t xml:space="preserve">A consultation Regulation Impact Statement (RIS) was prepared and is available on the FSANZ website. </w:t>
      </w:r>
    </w:p>
    <w:p w14:paraId="10119A5B" w14:textId="77777777" w:rsidR="007C0CB3" w:rsidRDefault="007C0CB3" w:rsidP="007C0CB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E5B61A3" w14:textId="77777777" w:rsidR="007C0CB3" w:rsidRDefault="007C0CB3" w:rsidP="007C0CB3">
      <w:pPr>
        <w:rPr>
          <w:rFonts w:eastAsiaTheme="minorHAnsi"/>
          <w:lang w:val="en-AU" w:bidi="ar-SA"/>
        </w:rPr>
      </w:pPr>
    </w:p>
    <w:p w14:paraId="085DF2FC" w14:textId="5AB5F68B" w:rsidR="007C0CB3" w:rsidRDefault="007C0CB3" w:rsidP="007C0CB3">
      <w:pPr>
        <w:spacing w:after="240"/>
        <w:rPr>
          <w:b/>
        </w:rPr>
      </w:pPr>
      <w:r>
        <w:rPr>
          <w:rFonts w:eastAsiaTheme="minorHAnsi"/>
          <w:lang w:val="en-AU" w:bidi="ar-SA"/>
        </w:rPr>
        <w:t>This instrument is exempt from the requirements for a statement of compatibility with human rights as it is a non-disallowable instrument under section 94 of the FSANZ Act.</w:t>
      </w:r>
      <w:r>
        <w:rPr>
          <w:b/>
        </w:rPr>
        <w:t xml:space="preserve"> </w:t>
      </w:r>
    </w:p>
    <w:p w14:paraId="11C01F4C" w14:textId="292A465B" w:rsidR="007C0CB3" w:rsidRPr="00570435" w:rsidRDefault="007C0CB3" w:rsidP="00570435">
      <w:pPr>
        <w:rPr>
          <w:b/>
          <w:lang w:val="en-AU" w:eastAsia="en-GB" w:bidi="ar-SA"/>
        </w:rPr>
      </w:pPr>
      <w:r>
        <w:rPr>
          <w:b/>
        </w:rPr>
        <w:t>6.</w:t>
      </w:r>
      <w:r>
        <w:rPr>
          <w:b/>
        </w:rPr>
        <w:tab/>
      </w:r>
      <w:r>
        <w:rPr>
          <w:b/>
          <w:lang w:val="en-AU" w:eastAsia="en-GB" w:bidi="ar-SA"/>
        </w:rPr>
        <w:t>Variation</w:t>
      </w:r>
      <w:r>
        <w:rPr>
          <w:b/>
          <w:lang w:val="en-AU" w:eastAsia="en-GB" w:bidi="ar-SA"/>
        </w:rPr>
        <w:br/>
      </w:r>
    </w:p>
    <w:p w14:paraId="50329263" w14:textId="3628AE3B" w:rsidR="007C0CB3" w:rsidRDefault="007C0CB3" w:rsidP="007C0CB3">
      <w:r>
        <w:t xml:space="preserve">Clause 1 provides that the name of the variation is </w:t>
      </w:r>
      <w:r w:rsidRPr="00431E64">
        <w:rPr>
          <w:i/>
          <w:szCs w:val="22"/>
        </w:rPr>
        <w:t>Food Standards (</w:t>
      </w:r>
      <w:r w:rsidRPr="00431E64">
        <w:rPr>
          <w:i/>
          <w:szCs w:val="22"/>
          <w:lang w:eastAsia="en-GB" w:bidi="ar-SA"/>
        </w:rPr>
        <w:t>Proposal P1053 – Food Safety Management Tools – Consequential Amendments</w:t>
      </w:r>
      <w:r w:rsidRPr="00431E64">
        <w:rPr>
          <w:i/>
          <w:szCs w:val="22"/>
          <w:lang w:val="en-AU" w:eastAsia="en-GB" w:bidi="ar-SA"/>
        </w:rPr>
        <w:t>) Variation</w:t>
      </w:r>
      <w:r>
        <w:t>.</w:t>
      </w:r>
    </w:p>
    <w:p w14:paraId="3F26BAEE" w14:textId="77777777" w:rsidR="007C0CB3" w:rsidRDefault="007C0CB3" w:rsidP="007C0CB3"/>
    <w:p w14:paraId="4BDE0391" w14:textId="77777777" w:rsidR="007C0CB3" w:rsidRDefault="007C0CB3" w:rsidP="007C0CB3">
      <w:r>
        <w:t>Clause 2 provides that the Code is amended by the Schedule to the variation.</w:t>
      </w:r>
    </w:p>
    <w:p w14:paraId="1F3BB9FA" w14:textId="77777777" w:rsidR="007C0CB3" w:rsidRDefault="007C0CB3" w:rsidP="007C0CB3"/>
    <w:p w14:paraId="515A7FAA" w14:textId="24AE5661" w:rsidR="007C0CB3" w:rsidRDefault="007C0CB3" w:rsidP="007C0CB3">
      <w:r>
        <w:t xml:space="preserve">Clause 3 provides that </w:t>
      </w:r>
      <w:r w:rsidR="00412CE6">
        <w:t xml:space="preserve">the </w:t>
      </w:r>
      <w:r>
        <w:t>variation will commence immediately after draft Standard 3.2.2A takes effect.</w:t>
      </w:r>
    </w:p>
    <w:p w14:paraId="17E0806A" w14:textId="77777777" w:rsidR="007C0CB3" w:rsidRDefault="007C0CB3" w:rsidP="007C0CB3"/>
    <w:p w14:paraId="418AD70E" w14:textId="4A696039" w:rsidR="00412CE6" w:rsidRDefault="007C0CB3" w:rsidP="007C0CB3">
      <w:pPr>
        <w:spacing w:after="240"/>
      </w:pPr>
      <w:r>
        <w:t xml:space="preserve">Item 1 of the Schedule </w:t>
      </w:r>
      <w:r w:rsidR="00412CE6">
        <w:rPr>
          <w:lang w:val="en-AU" w:eastAsia="en-GB" w:bidi="ar-SA"/>
        </w:rPr>
        <w:t>will</w:t>
      </w:r>
      <w:r>
        <w:rPr>
          <w:lang w:val="en-AU" w:eastAsia="en-GB" w:bidi="ar-SA"/>
        </w:rPr>
        <w:t xml:space="preserve"> amend </w:t>
      </w:r>
      <w:r w:rsidR="00412CE6">
        <w:t xml:space="preserve">subsection 1.1.1—2(2) of </w:t>
      </w:r>
      <w:r>
        <w:rPr>
          <w:lang w:val="en-AU" w:eastAsia="en-GB" w:bidi="ar-SA"/>
        </w:rPr>
        <w:t xml:space="preserve">Standard 1.1.1 of the Code to include </w:t>
      </w:r>
      <w:r w:rsidR="00412CE6">
        <w:rPr>
          <w:lang w:val="en-AU" w:eastAsia="en-GB" w:bidi="ar-SA"/>
        </w:rPr>
        <w:t xml:space="preserve">in that subsection </w:t>
      </w:r>
      <w:r>
        <w:rPr>
          <w:lang w:val="en-AU" w:eastAsia="en-GB" w:bidi="ar-SA"/>
        </w:rPr>
        <w:t xml:space="preserve">a reference to </w:t>
      </w:r>
      <w:r>
        <w:t xml:space="preserve">Standard 3.2.2A. The subsection </w:t>
      </w:r>
      <w:r>
        <w:rPr>
          <w:lang w:val="en-AU" w:eastAsia="en-GB" w:bidi="ar-SA"/>
        </w:rPr>
        <w:t xml:space="preserve">lists all the </w:t>
      </w:r>
      <w:r w:rsidRPr="000C7DDF">
        <w:rPr>
          <w:lang w:val="en-AU" w:eastAsia="en-GB" w:bidi="ar-SA"/>
        </w:rPr>
        <w:t>standards of the Code arranged into Chapters, Parts and a set of Schedules</w:t>
      </w:r>
      <w:r>
        <w:rPr>
          <w:lang w:val="en-AU" w:eastAsia="en-GB" w:bidi="ar-SA"/>
        </w:rPr>
        <w:t xml:space="preserve">. The list does not currently contain a reference to </w:t>
      </w:r>
      <w:r>
        <w:t>Standard 3.2.2A.</w:t>
      </w:r>
      <w:r w:rsidR="008848B0">
        <w:t xml:space="preserve">  </w:t>
      </w:r>
    </w:p>
    <w:p w14:paraId="2C26FF30" w14:textId="1B14BF04" w:rsidR="00412CE6" w:rsidRDefault="00412CE6" w:rsidP="007C0CB3">
      <w:pPr>
        <w:spacing w:after="240"/>
        <w:rPr>
          <w:b/>
        </w:rPr>
      </w:pPr>
      <w:r>
        <w:t xml:space="preserve">The effect of the amendment, if the draft Standard 3.2.2A and the </w:t>
      </w:r>
      <w:r w:rsidR="008E306B">
        <w:t xml:space="preserve">draft </w:t>
      </w:r>
      <w:r>
        <w:t>variation are both approved, will be that Standard 3.2.2A will be listed in subsection 1.1.1—2(2) immediately after the reference in that subsection to Standard 3.2.2.</w:t>
      </w:r>
    </w:p>
    <w:p w14:paraId="7E31B6F5" w14:textId="7B763EE7" w:rsidR="007C0CB3" w:rsidRDefault="007C0CB3" w:rsidP="002C1C9D">
      <w:pPr>
        <w:rPr>
          <w:b/>
          <w:lang w:val="en-AU" w:eastAsia="en-GB" w:bidi="ar-SA"/>
        </w:rPr>
      </w:pPr>
    </w:p>
    <w:p w14:paraId="157C307F" w14:textId="77777777" w:rsidR="007C0CB3" w:rsidRPr="00570435" w:rsidRDefault="007C0CB3" w:rsidP="002C1C9D">
      <w:pPr>
        <w:rPr>
          <w:b/>
          <w:lang w:val="en-AU" w:eastAsia="en-GB" w:bidi="ar-SA"/>
        </w:rPr>
      </w:pPr>
    </w:p>
    <w:p w14:paraId="502B01F1" w14:textId="77777777" w:rsidR="002C1C9D" w:rsidRPr="00F84A9E" w:rsidRDefault="002C1C9D" w:rsidP="00E23FC3">
      <w:pPr>
        <w:spacing w:after="240"/>
      </w:pPr>
    </w:p>
    <w:p w14:paraId="2CC7D574" w14:textId="34250CFA" w:rsidR="00FD342E" w:rsidRPr="00AD344F" w:rsidRDefault="00412D71" w:rsidP="00F84A9E">
      <w:pPr>
        <w:spacing w:after="240"/>
        <w:rPr>
          <w:b/>
        </w:rPr>
      </w:pPr>
      <w:r>
        <w:lastRenderedPageBreak/>
        <w:t xml:space="preserve"> </w:t>
      </w:r>
    </w:p>
    <w:sectPr w:rsidR="00FD342E" w:rsidRPr="00AD344F" w:rsidSect="00303395">
      <w:footerReference w:type="even" r:id="rId31"/>
      <w:footerReference w:type="default" r:id="rId32"/>
      <w:headerReference w:type="first" r:id="rId33"/>
      <w:pgSz w:w="11906" w:h="16838"/>
      <w:pgMar w:top="1418" w:right="242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FF90" w14:textId="77777777" w:rsidR="006E0DE7" w:rsidRDefault="006E0DE7">
      <w:r>
        <w:separator/>
      </w:r>
    </w:p>
  </w:endnote>
  <w:endnote w:type="continuationSeparator" w:id="0">
    <w:p w14:paraId="739D5220" w14:textId="77777777" w:rsidR="006E0DE7" w:rsidRDefault="006E0DE7">
      <w:r>
        <w:continuationSeparator/>
      </w:r>
    </w:p>
  </w:endnote>
  <w:endnote w:type="continuationNotice" w:id="1">
    <w:p w14:paraId="2CD7EEBB" w14:textId="77777777" w:rsidR="006E0DE7" w:rsidRDefault="006E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2CA17727" w:rsidR="007C5EA1" w:rsidRDefault="007C5EA1" w:rsidP="008701C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7C5EA1" w:rsidRDefault="007C5EA1" w:rsidP="00A9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5E518D1E" w:rsidR="007C5EA1" w:rsidRDefault="007C5EA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799">
      <w:rPr>
        <w:rStyle w:val="PageNumber"/>
        <w:noProof/>
      </w:rPr>
      <w:t>1</w:t>
    </w:r>
    <w:r>
      <w:rPr>
        <w:rStyle w:val="PageNumber"/>
      </w:rPr>
      <w:fldChar w:fldCharType="end"/>
    </w:r>
  </w:p>
  <w:p w14:paraId="7CF73D54" w14:textId="77777777" w:rsidR="007C5EA1" w:rsidRDefault="007C5EA1" w:rsidP="00A90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978B6" w14:textId="77777777" w:rsidR="006E0DE7" w:rsidRDefault="006E0DE7">
      <w:r>
        <w:separator/>
      </w:r>
    </w:p>
  </w:footnote>
  <w:footnote w:type="continuationSeparator" w:id="0">
    <w:p w14:paraId="6CD59C2D" w14:textId="77777777" w:rsidR="006E0DE7" w:rsidRDefault="006E0DE7">
      <w:r>
        <w:continuationSeparator/>
      </w:r>
    </w:p>
  </w:footnote>
  <w:footnote w:type="continuationNotice" w:id="1">
    <w:p w14:paraId="675D8352" w14:textId="77777777" w:rsidR="006E0DE7" w:rsidRDefault="006E0DE7"/>
  </w:footnote>
  <w:footnote w:id="2">
    <w:p w14:paraId="427DD127" w14:textId="74ED0298" w:rsidR="007C5EA1" w:rsidRPr="00F5167D" w:rsidRDefault="007C5EA1" w:rsidP="00D902CA">
      <w:pPr>
        <w:pStyle w:val="FootnoteText"/>
        <w:rPr>
          <w:rStyle w:val="FootnoteReference"/>
          <w:lang w:val="en-AU"/>
        </w:rPr>
      </w:pPr>
      <w:r w:rsidRPr="00F5167D">
        <w:rPr>
          <w:rStyle w:val="FootnoteReference"/>
        </w:rPr>
        <w:footnoteRef/>
      </w:r>
      <w:r w:rsidRPr="00F5167D">
        <w:rPr>
          <w:rStyle w:val="FootnoteReference"/>
        </w:rPr>
        <w:t xml:space="preserve"> </w:t>
      </w:r>
      <w:r>
        <w:rPr>
          <w:sz w:val="16"/>
          <w:szCs w:val="16"/>
          <w:lang w:val="en-AU"/>
        </w:rPr>
        <w:t>On 29 June 2018 the</w:t>
      </w:r>
      <w:r w:rsidRPr="00D902CA">
        <w:rPr>
          <w:sz w:val="16"/>
          <w:szCs w:val="16"/>
          <w:lang w:val="en-AU"/>
        </w:rPr>
        <w:t> Forum endorsed Australia’s Foodborne Illness Reduction Strategy 2018-2021+.</w:t>
      </w:r>
    </w:p>
  </w:footnote>
  <w:footnote w:id="3">
    <w:p w14:paraId="6D54A623" w14:textId="77777777" w:rsidR="00A13E6D" w:rsidRDefault="00A13E6D" w:rsidP="00A13E6D">
      <w:pPr>
        <w:pStyle w:val="FootnoteText"/>
        <w:rPr>
          <w:sz w:val="18"/>
          <w:szCs w:val="18"/>
          <w:lang w:val="en-AU"/>
        </w:rPr>
      </w:pPr>
      <w:r>
        <w:rPr>
          <w:rStyle w:val="FootnoteReference"/>
        </w:rPr>
        <w:footnoteRef/>
      </w:r>
      <w:r>
        <w:t xml:space="preserve"> </w:t>
      </w:r>
      <w:r>
        <w:rPr>
          <w:sz w:val="18"/>
          <w:szCs w:val="18"/>
        </w:rPr>
        <w:t xml:space="preserve">The </w:t>
      </w:r>
      <w:r>
        <w:rPr>
          <w:sz w:val="18"/>
          <w:szCs w:val="18"/>
          <w:lang w:val="en-AU"/>
        </w:rPr>
        <w:t xml:space="preserve">Australia and New Zealand Ministerial Forum on Food Regulation (the Ministerial Forum) comprises all Australian and New Zealand Ministers responsible for food, and the Australian Local Government Association. It was known previously as </w:t>
      </w:r>
      <w:r>
        <w:rPr>
          <w:sz w:val="18"/>
          <w:szCs w:val="18"/>
        </w:rPr>
        <w:t>the Australia New Zealand Food Regulation Ministerial Council.</w:t>
      </w:r>
    </w:p>
  </w:footnote>
  <w:footnote w:id="4">
    <w:p w14:paraId="3746667E" w14:textId="554959D8" w:rsidR="00F6100F" w:rsidRPr="00F6100F" w:rsidRDefault="00F6100F">
      <w:pPr>
        <w:pStyle w:val="FootnoteText"/>
        <w:rPr>
          <w:lang w:val="en-AU"/>
        </w:rPr>
      </w:pPr>
      <w:r>
        <w:rPr>
          <w:rStyle w:val="FootnoteReference"/>
        </w:rPr>
        <w:footnoteRef/>
      </w:r>
      <w:hyperlink r:id="rId1" w:history="1">
        <w:r w:rsidRPr="00F6100F">
          <w:rPr>
            <w:rStyle w:val="Hyperlink"/>
            <w:sz w:val="18"/>
          </w:rPr>
          <w:t>https://www.foodstandards.gov.au/code/proposals/Documents/P1053%20Consultation%20paper.docx</w:t>
        </w:r>
      </w:hyperlink>
      <w:r w:rsidRPr="00F6100F">
        <w:rPr>
          <w:sz w:val="18"/>
        </w:rPr>
        <w:t xml:space="preserve"> </w:t>
      </w:r>
    </w:p>
  </w:footnote>
  <w:footnote w:id="5">
    <w:p w14:paraId="2FC1D238" w14:textId="77777777" w:rsidR="007C5EA1" w:rsidRPr="00B73672" w:rsidRDefault="007C5EA1" w:rsidP="00B10726">
      <w:pPr>
        <w:pStyle w:val="FootnoteText"/>
        <w:rPr>
          <w:sz w:val="16"/>
          <w:szCs w:val="16"/>
          <w:lang w:val="en-AU"/>
        </w:rPr>
      </w:pPr>
      <w:r w:rsidRPr="00A2457A">
        <w:rPr>
          <w:rStyle w:val="FootnoteReference"/>
          <w:sz w:val="18"/>
          <w:szCs w:val="18"/>
        </w:rPr>
        <w:footnoteRef/>
      </w:r>
      <w:r w:rsidRPr="00A2457A">
        <w:rPr>
          <w:sz w:val="18"/>
          <w:szCs w:val="18"/>
        </w:rPr>
        <w:t xml:space="preserve"> </w:t>
      </w:r>
      <w:r w:rsidRPr="00B73672">
        <w:rPr>
          <w:sz w:val="16"/>
          <w:szCs w:val="16"/>
        </w:rPr>
        <w:t xml:space="preserve">Proposal P290 has not been progressed since 2008, awaiting policy advice (revised 2011) and the outcomes of the FRSC/ISFR </w:t>
      </w:r>
      <w:r>
        <w:rPr>
          <w:sz w:val="16"/>
          <w:szCs w:val="16"/>
        </w:rPr>
        <w:t>FSM WG</w:t>
      </w:r>
      <w:r w:rsidRPr="00B73672">
        <w:rPr>
          <w:sz w:val="16"/>
          <w:szCs w:val="16"/>
        </w:rPr>
        <w:t xml:space="preserve">. This proposal is still outstanding and will require abandoning following the </w:t>
      </w:r>
      <w:r>
        <w:rPr>
          <w:sz w:val="16"/>
          <w:szCs w:val="16"/>
        </w:rPr>
        <w:t>P</w:t>
      </w:r>
      <w:r w:rsidRPr="00B73672">
        <w:rPr>
          <w:sz w:val="16"/>
          <w:szCs w:val="16"/>
        </w:rPr>
        <w:t>roposal</w:t>
      </w:r>
      <w:r>
        <w:rPr>
          <w:sz w:val="16"/>
          <w:szCs w:val="16"/>
        </w:rPr>
        <w:t xml:space="preserve"> P1053</w:t>
      </w:r>
      <w:r w:rsidRPr="00B73672">
        <w:rPr>
          <w:sz w:val="16"/>
          <w:szCs w:val="16"/>
        </w:rPr>
        <w:t>.</w:t>
      </w:r>
    </w:p>
  </w:footnote>
  <w:footnote w:id="6">
    <w:p w14:paraId="41A3E338" w14:textId="508DFA20" w:rsidR="007C5EA1" w:rsidRPr="00B718CA" w:rsidRDefault="007C5EA1">
      <w:pPr>
        <w:pStyle w:val="FootnoteText"/>
        <w:rPr>
          <w:lang w:val="en-AU"/>
        </w:rPr>
      </w:pPr>
      <w:r>
        <w:rPr>
          <w:rStyle w:val="FootnoteReference"/>
        </w:rPr>
        <w:footnoteRef/>
      </w:r>
      <w:hyperlink r:id="rId2" w:history="1">
        <w:r w:rsidRPr="00B718CA">
          <w:rPr>
            <w:rStyle w:val="Hyperlink"/>
            <w:sz w:val="16"/>
          </w:rPr>
          <w:t>https://foodregulation.gov.au/internet/fr/publishing.nsf/Content/9FB67C943A4DA693CA25801B0011D683/$File/2011-12-FRSC-Revised%20Food%20Safety%20Management%20for%20Retail-Food%20Sectors.docx</w:t>
        </w:r>
      </w:hyperlink>
      <w:r w:rsidRPr="00B718CA">
        <w:rPr>
          <w:sz w:val="16"/>
        </w:rPr>
        <w:t xml:space="preserve"> </w:t>
      </w:r>
    </w:p>
  </w:footnote>
  <w:footnote w:id="7">
    <w:p w14:paraId="06293542" w14:textId="448BB98F" w:rsidR="007C5EA1" w:rsidRPr="00FE4690" w:rsidRDefault="007C5EA1">
      <w:pPr>
        <w:pStyle w:val="FootnoteText"/>
        <w:rPr>
          <w:lang w:val="en-AU"/>
        </w:rPr>
      </w:pPr>
      <w:r>
        <w:rPr>
          <w:rStyle w:val="FootnoteReference"/>
        </w:rPr>
        <w:footnoteRef/>
      </w:r>
      <w:r>
        <w:t xml:space="preserve"> </w:t>
      </w:r>
      <w:r w:rsidRPr="00FE4690">
        <w:rPr>
          <w:rStyle w:val="FootnoteReference"/>
          <w:sz w:val="16"/>
          <w:szCs w:val="16"/>
          <w:vertAlign w:val="baseline"/>
        </w:rPr>
        <w:t>the Australia and New Zealand Ministerial Forum on Food Regulation (the Forum, now the Food Ministers’ Meeting)</w:t>
      </w:r>
    </w:p>
  </w:footnote>
  <w:footnote w:id="8">
    <w:p w14:paraId="5AC24743" w14:textId="5EB287B8" w:rsidR="007C5EA1" w:rsidRPr="00734341" w:rsidRDefault="007C5EA1">
      <w:pPr>
        <w:pStyle w:val="FootnoteText"/>
        <w:rPr>
          <w:b/>
          <w:lang w:val="en-AU"/>
        </w:rPr>
      </w:pPr>
      <w:r>
        <w:rPr>
          <w:rStyle w:val="FootnoteReference"/>
        </w:rPr>
        <w:footnoteRef/>
      </w:r>
      <w:hyperlink r:id="rId3" w:history="1">
        <w:r w:rsidRPr="00863D40">
          <w:rPr>
            <w:rStyle w:val="Hyperlink"/>
            <w:sz w:val="16"/>
            <w:szCs w:val="16"/>
          </w:rPr>
          <w:t>https://webarchive.nla.gov.au/awa/20151020103533/http://www.health.gov.au/internet/main/publishing.nsf/Content/foodsecretariat-isc-model.htm</w:t>
        </w:r>
      </w:hyperlink>
      <w:r>
        <w:rPr>
          <w:sz w:val="16"/>
          <w:szCs w:val="16"/>
        </w:rPr>
        <w:t xml:space="preserve"> </w:t>
      </w:r>
    </w:p>
  </w:footnote>
  <w:footnote w:id="9">
    <w:p w14:paraId="7FC095A7" w14:textId="3DC6B9F9" w:rsidR="007C5EA1" w:rsidRPr="00EE6137" w:rsidRDefault="007C5EA1" w:rsidP="00932C0C">
      <w:pPr>
        <w:pStyle w:val="Footnote"/>
        <w:tabs>
          <w:tab w:val="clear" w:pos="851"/>
          <w:tab w:val="left" w:pos="567"/>
        </w:tabs>
        <w:rPr>
          <w:rStyle w:val="FootnoteReference"/>
          <w:sz w:val="16"/>
          <w:szCs w:val="16"/>
        </w:rPr>
      </w:pPr>
      <w:r w:rsidRPr="00EE6137">
        <w:rPr>
          <w:rStyle w:val="FootnoteReference"/>
          <w:sz w:val="16"/>
          <w:szCs w:val="16"/>
        </w:rPr>
        <w:footnoteRef/>
      </w:r>
      <w:r>
        <w:rPr>
          <w:rStyle w:val="FootnoteReference"/>
          <w:sz w:val="16"/>
          <w:szCs w:val="16"/>
        </w:rPr>
        <w:t xml:space="preserve"> </w:t>
      </w:r>
      <w:r w:rsidRPr="00EE6137">
        <w:rPr>
          <w:rStyle w:val="FootnoteReference"/>
          <w:sz w:val="16"/>
          <w:szCs w:val="16"/>
          <w:vertAlign w:val="baseline"/>
        </w:rPr>
        <w:t>Risk profiling is defined by FAO/WHO as ‘the process of describing a food safety problem and its context, in order to identify those elements of the hazard or risk relevant to various risk management decisions’.</w:t>
      </w:r>
    </w:p>
  </w:footnote>
  <w:footnote w:id="10">
    <w:p w14:paraId="1A3A228E" w14:textId="2B272F6F" w:rsidR="007C5EA1" w:rsidRDefault="007C5EA1" w:rsidP="00932C0C">
      <w:pPr>
        <w:pStyle w:val="Footnote"/>
        <w:tabs>
          <w:tab w:val="clear" w:pos="851"/>
          <w:tab w:val="left" w:pos="567"/>
        </w:tabs>
      </w:pPr>
      <w:r w:rsidRPr="00EE6137">
        <w:rPr>
          <w:rStyle w:val="FootnoteReference"/>
          <w:sz w:val="16"/>
          <w:szCs w:val="16"/>
        </w:rPr>
        <w:footnoteRef/>
      </w:r>
      <w:r w:rsidRPr="00EE6137">
        <w:rPr>
          <w:sz w:val="16"/>
          <w:szCs w:val="16"/>
        </w:rPr>
        <w:t xml:space="preserve"> </w:t>
      </w:r>
      <w:r w:rsidRPr="00EE6137">
        <w:rPr>
          <w:rStyle w:val="FootnoteReference"/>
          <w:sz w:val="16"/>
          <w:szCs w:val="16"/>
          <w:vertAlign w:val="baseline"/>
        </w:rPr>
        <w:t>Risk assessment is a scientific process that characterises the risk to public health and safety posed by hazards associated with a food commodity.</w:t>
      </w:r>
      <w:r>
        <w:rPr>
          <w:sz w:val="20"/>
        </w:rPr>
        <w:t xml:space="preserve"> </w:t>
      </w:r>
    </w:p>
  </w:footnote>
  <w:footnote w:id="11">
    <w:p w14:paraId="434C50DE" w14:textId="77777777" w:rsidR="007C5EA1" w:rsidRPr="00A365A9" w:rsidRDefault="007C5EA1" w:rsidP="00932C0C">
      <w:pPr>
        <w:pStyle w:val="FootnoteText"/>
        <w:rPr>
          <w:sz w:val="16"/>
          <w:szCs w:val="16"/>
          <w:lang w:val="en-AU"/>
        </w:rPr>
      </w:pPr>
      <w:r>
        <w:rPr>
          <w:rStyle w:val="FootnoteReference"/>
        </w:rPr>
        <w:footnoteRef/>
      </w:r>
      <w:r>
        <w:t xml:space="preserve"> </w:t>
      </w:r>
      <w:hyperlink r:id="rId4" w:history="1">
        <w:r w:rsidRPr="00A365A9">
          <w:rPr>
            <w:rStyle w:val="Hyperlink"/>
            <w:rFonts w:cstheme="minorBidi"/>
            <w:sz w:val="16"/>
            <w:szCs w:val="16"/>
            <w:lang w:val="en-AU"/>
          </w:rPr>
          <w:t>https://www.foodstandards.gov.au/foodsafety/standards/Pages/Review-of-Standard-4.2.5-%E2%80%93-Primary-production-and-processing-standard-for-eggs-and-egg-products.aspx</w:t>
        </w:r>
      </w:hyperlink>
    </w:p>
  </w:footnote>
  <w:footnote w:id="12">
    <w:p w14:paraId="61C71FBA" w14:textId="77777777" w:rsidR="007C5EA1" w:rsidRPr="00216F1A" w:rsidRDefault="007C5EA1" w:rsidP="00932C0C">
      <w:pPr>
        <w:pStyle w:val="FootnoteText"/>
        <w:rPr>
          <w:sz w:val="16"/>
          <w:szCs w:val="16"/>
          <w:lang w:val="en-AU"/>
        </w:rPr>
      </w:pPr>
      <w:r w:rsidRPr="00216F1A">
        <w:rPr>
          <w:rStyle w:val="FootnoteReference"/>
          <w:sz w:val="16"/>
          <w:szCs w:val="16"/>
        </w:rPr>
        <w:footnoteRef/>
      </w:r>
      <w:r w:rsidRPr="00216F1A">
        <w:rPr>
          <w:sz w:val="16"/>
          <w:szCs w:val="16"/>
        </w:rPr>
        <w:t xml:space="preserve"> </w:t>
      </w:r>
      <w:hyperlink r:id="rId5" w:anchor=":~:text=number%20of%20infrastructure%20initiatives%20intended%20to%20guide%20the,the%20food%20safety%20risks%20associated%20with%20the%20business." w:history="1">
        <w:r w:rsidRPr="00216F1A">
          <w:rPr>
            <w:rStyle w:val="Hyperlink"/>
            <w:rFonts w:cstheme="minorBidi"/>
            <w:sz w:val="16"/>
            <w:szCs w:val="16"/>
          </w:rPr>
          <w:t>ANZFA_1578_Info_Paper__final.pdf (foodstandards.gov.au)</w:t>
        </w:r>
      </w:hyperlink>
    </w:p>
  </w:footnote>
  <w:footnote w:id="13">
    <w:p w14:paraId="2F18FC90" w14:textId="77777777" w:rsidR="007C5EA1" w:rsidRPr="00216F1A" w:rsidRDefault="007C5EA1" w:rsidP="00932C0C">
      <w:pPr>
        <w:pStyle w:val="FootnoteText"/>
        <w:rPr>
          <w:sz w:val="16"/>
          <w:szCs w:val="16"/>
          <w:lang w:val="en-AU"/>
        </w:rPr>
      </w:pPr>
      <w:r w:rsidRPr="00216F1A">
        <w:rPr>
          <w:rStyle w:val="FootnoteReference"/>
          <w:sz w:val="16"/>
          <w:szCs w:val="16"/>
        </w:rPr>
        <w:footnoteRef/>
      </w:r>
      <w:hyperlink r:id="rId6" w:history="1">
        <w:r w:rsidRPr="00216F1A">
          <w:rPr>
            <w:rStyle w:val="Hyperlink"/>
            <w:rFonts w:cstheme="minorBidi"/>
            <w:sz w:val="16"/>
            <w:szCs w:val="16"/>
            <w:lang w:val="en-AU"/>
          </w:rPr>
          <w:t>https://www.qld.gov.au/health/staying-healthy/food-pantry/starting-a-food-business/food-business-licences/do-i-need-a-food-business-licence</w:t>
        </w:r>
      </w:hyperlink>
      <w:r w:rsidRPr="00216F1A">
        <w:rPr>
          <w:sz w:val="16"/>
          <w:szCs w:val="16"/>
          <w:lang w:val="en-AU"/>
        </w:rPr>
        <w:t xml:space="preserve"> </w:t>
      </w:r>
    </w:p>
  </w:footnote>
  <w:footnote w:id="14">
    <w:p w14:paraId="6C9DD98E" w14:textId="70656A61" w:rsidR="007C5EA1" w:rsidRPr="00216F1A" w:rsidRDefault="007C5EA1" w:rsidP="00932C0C">
      <w:pPr>
        <w:pStyle w:val="FootnoteText"/>
        <w:rPr>
          <w:sz w:val="16"/>
          <w:szCs w:val="16"/>
          <w:lang w:val="en-AU"/>
        </w:rPr>
      </w:pPr>
      <w:r w:rsidRPr="00216F1A">
        <w:rPr>
          <w:rStyle w:val="FootnoteReference"/>
          <w:sz w:val="16"/>
          <w:szCs w:val="16"/>
        </w:rPr>
        <w:footnoteRef/>
      </w:r>
      <w:r w:rsidRPr="00216F1A">
        <w:rPr>
          <w:sz w:val="16"/>
          <w:szCs w:val="16"/>
        </w:rPr>
        <w:t xml:space="preserve"> </w:t>
      </w:r>
      <w:r w:rsidRPr="00536147">
        <w:rPr>
          <w:sz w:val="16"/>
          <w:szCs w:val="16"/>
          <w:lang w:val="en-AU"/>
        </w:rPr>
        <w:t xml:space="preserve">Victoria risk classification (class 1 </w:t>
      </w:r>
      <w:r w:rsidRPr="00536147">
        <w:rPr>
          <w:rFonts w:cs="Arial"/>
          <w:sz w:val="16"/>
          <w:szCs w:val="16"/>
          <w:lang w:val="en-AU"/>
        </w:rPr>
        <w:t xml:space="preserve">being highest risk): </w:t>
      </w:r>
      <w:hyperlink r:id="rId7" w:history="1">
        <w:r w:rsidRPr="00536147">
          <w:rPr>
            <w:rStyle w:val="Hyperlink"/>
            <w:sz w:val="16"/>
            <w:szCs w:val="16"/>
          </w:rPr>
          <w:t>https://www.health.vic.gov.au/food-safety/food-business-classification</w:t>
        </w:r>
      </w:hyperlink>
    </w:p>
  </w:footnote>
  <w:footnote w:id="15">
    <w:p w14:paraId="7EB01418" w14:textId="77777777" w:rsidR="007C5EA1" w:rsidRPr="00216F1A" w:rsidRDefault="007C5EA1" w:rsidP="00932C0C">
      <w:pPr>
        <w:pStyle w:val="FootnoteText"/>
        <w:rPr>
          <w:lang w:val="en-AU"/>
        </w:rPr>
      </w:pPr>
      <w:r w:rsidRPr="00216F1A">
        <w:rPr>
          <w:rStyle w:val="FootnoteReference"/>
          <w:sz w:val="16"/>
          <w:szCs w:val="16"/>
        </w:rPr>
        <w:footnoteRef/>
      </w:r>
      <w:hyperlink r:id="rId8" w:history="1">
        <w:r w:rsidRPr="00216F1A">
          <w:rPr>
            <w:rStyle w:val="Hyperlink"/>
            <w:rFonts w:cstheme="minorBidi"/>
            <w:sz w:val="16"/>
            <w:szCs w:val="16"/>
          </w:rPr>
          <w:t>https://ww2.health.wa.gov.au/~/media/Files/Corporate/general%20documents/food/PDF/WA_Food_Regulation_Food_Business_Risk_Profiling.pdf</w:t>
        </w:r>
      </w:hyperlink>
      <w:r>
        <w:t xml:space="preserve"> </w:t>
      </w:r>
    </w:p>
  </w:footnote>
  <w:footnote w:id="16">
    <w:p w14:paraId="18CE49F3" w14:textId="77777777" w:rsidR="007C5EA1" w:rsidRPr="00B73672" w:rsidRDefault="007C5EA1" w:rsidP="009B684E">
      <w:pPr>
        <w:pStyle w:val="FootnoteText"/>
        <w:rPr>
          <w:sz w:val="16"/>
          <w:szCs w:val="16"/>
          <w:lang w:val="en-AU"/>
        </w:rPr>
      </w:pPr>
      <w:r w:rsidRPr="00B73672">
        <w:rPr>
          <w:rStyle w:val="FootnoteReference"/>
          <w:sz w:val="16"/>
          <w:szCs w:val="16"/>
        </w:rPr>
        <w:footnoteRef/>
      </w:r>
      <w:r w:rsidRPr="00B73672">
        <w:rPr>
          <w:sz w:val="16"/>
          <w:szCs w:val="16"/>
        </w:rPr>
        <w:t xml:space="preserve"> </w:t>
      </w:r>
      <w:hyperlink r:id="rId9" w:history="1">
        <w:r w:rsidRPr="00B73672">
          <w:rPr>
            <w:rStyle w:val="Hyperlink"/>
            <w:sz w:val="16"/>
            <w:szCs w:val="16"/>
          </w:rPr>
          <w:t>https://foodregulation.gov.au/internet/fr/publishing.nsf/Content/publication-stategic-statement</w:t>
        </w:r>
      </w:hyperlink>
      <w:r w:rsidRPr="00B73672">
        <w:rPr>
          <w:sz w:val="16"/>
          <w:szCs w:val="16"/>
        </w:rPr>
        <w:t xml:space="preserve"> </w:t>
      </w:r>
    </w:p>
  </w:footnote>
  <w:footnote w:id="17">
    <w:p w14:paraId="189A848F" w14:textId="19FCE6E5" w:rsidR="007C5EA1" w:rsidRPr="00126337" w:rsidRDefault="007C5EA1">
      <w:pPr>
        <w:pStyle w:val="FootnoteText"/>
        <w:rPr>
          <w:lang w:val="en-AU"/>
        </w:rPr>
      </w:pPr>
      <w:r>
        <w:rPr>
          <w:rStyle w:val="FootnoteReference"/>
        </w:rPr>
        <w:footnoteRef/>
      </w:r>
      <w:r>
        <w:t xml:space="preserve"> </w:t>
      </w:r>
      <w:r>
        <w:rPr>
          <w:rFonts w:cs="Arial"/>
          <w:sz w:val="16"/>
          <w:szCs w:val="16"/>
        </w:rPr>
        <w:t>Outcome of p</w:t>
      </w:r>
      <w:r w:rsidRPr="00126337">
        <w:rPr>
          <w:rFonts w:cs="Arial"/>
          <w:sz w:val="16"/>
          <w:szCs w:val="16"/>
        </w:rPr>
        <w:t>revious cost-benefit work on FSPs (Na</w:t>
      </w:r>
      <w:r>
        <w:rPr>
          <w:rFonts w:cs="Arial"/>
          <w:sz w:val="16"/>
          <w:szCs w:val="16"/>
        </w:rPr>
        <w:t>tional Risk Validation Project and the Allen report)</w:t>
      </w:r>
    </w:p>
  </w:footnote>
  <w:footnote w:id="18">
    <w:p w14:paraId="1FFE583D" w14:textId="77777777" w:rsidR="007C5EA1" w:rsidRPr="00EE6137" w:rsidRDefault="007C5EA1" w:rsidP="00827B80">
      <w:pPr>
        <w:pStyle w:val="FootnoteText"/>
        <w:rPr>
          <w:sz w:val="16"/>
          <w:szCs w:val="16"/>
          <w:lang w:val="en-AU"/>
        </w:rPr>
      </w:pPr>
      <w:r w:rsidRPr="00EE6137">
        <w:rPr>
          <w:rStyle w:val="FootnoteReference"/>
          <w:sz w:val="16"/>
          <w:szCs w:val="16"/>
        </w:rPr>
        <w:footnoteRef/>
      </w:r>
      <w:r w:rsidRPr="00EE6137">
        <w:rPr>
          <w:sz w:val="16"/>
          <w:szCs w:val="16"/>
        </w:rPr>
        <w:t xml:space="preserve"> </w:t>
      </w:r>
      <w:r w:rsidRPr="00EE6137">
        <w:rPr>
          <w:rFonts w:cs="Arial"/>
          <w:sz w:val="16"/>
          <w:szCs w:val="16"/>
        </w:rPr>
        <w:t xml:space="preserve">An </w:t>
      </w:r>
      <w:hyperlink r:id="rId10" w:history="1">
        <w:r w:rsidRPr="00EE6137">
          <w:rPr>
            <w:rFonts w:cs="Arial"/>
            <w:sz w:val="16"/>
            <w:szCs w:val="16"/>
          </w:rPr>
          <w:t>information paper</w:t>
        </w:r>
      </w:hyperlink>
      <w:r w:rsidRPr="00EE6137">
        <w:rPr>
          <w:rFonts w:cs="Arial"/>
          <w:sz w:val="16"/>
          <w:szCs w:val="16"/>
        </w:rPr>
        <w:t xml:space="preserve"> was released for public consultation early 2019, a consultation paper in January 2020, a targeted stakeholder survey in December 2020. </w:t>
      </w:r>
      <w:hyperlink r:id="rId11" w:history="1">
        <w:r w:rsidRPr="00EE6137">
          <w:rPr>
            <w:rStyle w:val="Hyperlink"/>
            <w:rFonts w:cs="Arial"/>
            <w:sz w:val="16"/>
            <w:szCs w:val="16"/>
          </w:rPr>
          <w:t>https://www.foodstandards.gov.au/code/proposals/Pages/P1053.aspx</w:t>
        </w:r>
      </w:hyperlink>
      <w:r w:rsidRPr="00EE6137">
        <w:rPr>
          <w:rFonts w:cs="Arial"/>
          <w:sz w:val="16"/>
          <w:szCs w:val="16"/>
        </w:rPr>
        <w:t xml:space="preserve"> </w:t>
      </w:r>
    </w:p>
  </w:footnote>
  <w:footnote w:id="19">
    <w:p w14:paraId="06BC76AF" w14:textId="1374C780" w:rsidR="007C5EA1" w:rsidRPr="00B83E0C" w:rsidRDefault="007C5EA1" w:rsidP="005417E5">
      <w:pPr>
        <w:pStyle w:val="Footnote"/>
        <w:tabs>
          <w:tab w:val="clear" w:pos="851"/>
          <w:tab w:val="left" w:pos="567"/>
        </w:tabs>
        <w:rPr>
          <w:rStyle w:val="FootnoteReference"/>
          <w:sz w:val="16"/>
          <w:szCs w:val="16"/>
          <w:vertAlign w:val="baseline"/>
        </w:rPr>
      </w:pPr>
      <w:r w:rsidRPr="00B83E0C">
        <w:rPr>
          <w:rStyle w:val="FootnoteReference"/>
          <w:sz w:val="16"/>
          <w:szCs w:val="16"/>
        </w:rPr>
        <w:footnoteRef/>
      </w:r>
      <w:r w:rsidRPr="00B83E0C">
        <w:rPr>
          <w:rStyle w:val="FootnoteReference"/>
          <w:sz w:val="16"/>
          <w:szCs w:val="16"/>
        </w:rPr>
        <w:t xml:space="preserve"> </w:t>
      </w:r>
      <w:r w:rsidRPr="00B83E0C">
        <w:rPr>
          <w:rStyle w:val="FootnoteReference"/>
          <w:sz w:val="16"/>
          <w:szCs w:val="16"/>
          <w:vertAlign w:val="baseline"/>
        </w:rPr>
        <w:t>Risk profiling is defined by FAO/WHO as ‘the process of describing a food safety problem and its context, in order to identify those elements of the hazard or risk relevant to various risk management decisions’.</w:t>
      </w:r>
    </w:p>
  </w:footnote>
  <w:footnote w:id="20">
    <w:p w14:paraId="0721C07D" w14:textId="312763CA" w:rsidR="007C5EA1" w:rsidRDefault="007C5EA1" w:rsidP="005417E5">
      <w:pPr>
        <w:pStyle w:val="Footnote"/>
        <w:tabs>
          <w:tab w:val="clear" w:pos="851"/>
          <w:tab w:val="left" w:pos="567"/>
        </w:tabs>
      </w:pPr>
      <w:r w:rsidRPr="00B83E0C">
        <w:rPr>
          <w:rStyle w:val="FootnoteReference"/>
          <w:sz w:val="16"/>
          <w:szCs w:val="16"/>
        </w:rPr>
        <w:footnoteRef/>
      </w:r>
      <w:r w:rsidRPr="00B83E0C">
        <w:rPr>
          <w:rStyle w:val="FootnoteReference"/>
          <w:sz w:val="16"/>
          <w:szCs w:val="16"/>
        </w:rPr>
        <w:t xml:space="preserve"> </w:t>
      </w:r>
      <w:r w:rsidRPr="00B83E0C">
        <w:rPr>
          <w:rStyle w:val="FootnoteReference"/>
          <w:sz w:val="16"/>
          <w:szCs w:val="16"/>
          <w:vertAlign w:val="baseline"/>
        </w:rPr>
        <w:t>Risk assessment is a scientific process undertaken to characterise the risk to public health and safety posed by foodborne hazards associated with a food commodity.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307F14CE" w:rsidR="007C5EA1" w:rsidRDefault="007C5EA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ED"/>
    <w:multiLevelType w:val="hybridMultilevel"/>
    <w:tmpl w:val="BA3AE30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36739C8"/>
    <w:multiLevelType w:val="hybridMultilevel"/>
    <w:tmpl w:val="F28E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542B4"/>
    <w:multiLevelType w:val="hybridMultilevel"/>
    <w:tmpl w:val="4296DBA6"/>
    <w:lvl w:ilvl="0" w:tplc="2D847F70">
      <w:start w:val="1"/>
      <w:numFmt w:val="bullet"/>
      <w:pStyle w:val="AAR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A20A2"/>
    <w:multiLevelType w:val="hybridMultilevel"/>
    <w:tmpl w:val="C7467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754B8E"/>
    <w:multiLevelType w:val="hybridMultilevel"/>
    <w:tmpl w:val="D00CD698"/>
    <w:lvl w:ilvl="0" w:tplc="3D962866">
      <w:start w:val="1"/>
      <w:numFmt w:val="lowerLetter"/>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0F59733A"/>
    <w:multiLevelType w:val="hybridMultilevel"/>
    <w:tmpl w:val="6F90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539FA"/>
    <w:multiLevelType w:val="hybridMultilevel"/>
    <w:tmpl w:val="375C3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9530A"/>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9" w15:restartNumberingAfterBreak="0">
    <w:nsid w:val="19F163BF"/>
    <w:multiLevelType w:val="hybridMultilevel"/>
    <w:tmpl w:val="3208B73C"/>
    <w:lvl w:ilvl="0" w:tplc="3D7086E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14256"/>
    <w:multiLevelType w:val="hybridMultilevel"/>
    <w:tmpl w:val="5F188FE4"/>
    <w:lvl w:ilvl="0" w:tplc="872E8C2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07515"/>
    <w:multiLevelType w:val="hybridMultilevel"/>
    <w:tmpl w:val="F438A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CA7764"/>
    <w:multiLevelType w:val="hybridMultilevel"/>
    <w:tmpl w:val="13A0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54271"/>
    <w:multiLevelType w:val="hybridMultilevel"/>
    <w:tmpl w:val="7E620802"/>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02333"/>
    <w:multiLevelType w:val="hybridMultilevel"/>
    <w:tmpl w:val="319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85D2F"/>
    <w:multiLevelType w:val="hybridMultilevel"/>
    <w:tmpl w:val="818A24A0"/>
    <w:lvl w:ilvl="0" w:tplc="2AA41A8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27801D69"/>
    <w:multiLevelType w:val="hybridMultilevel"/>
    <w:tmpl w:val="DFDE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B36E5"/>
    <w:multiLevelType w:val="hybridMultilevel"/>
    <w:tmpl w:val="3090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B277B"/>
    <w:multiLevelType w:val="hybridMultilevel"/>
    <w:tmpl w:val="CEF0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B01F3"/>
    <w:multiLevelType w:val="hybridMultilevel"/>
    <w:tmpl w:val="FF4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A483F"/>
    <w:multiLevelType w:val="hybridMultilevel"/>
    <w:tmpl w:val="94F0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451EC"/>
    <w:multiLevelType w:val="hybridMultilevel"/>
    <w:tmpl w:val="A2C29F2A"/>
    <w:lvl w:ilvl="0" w:tplc="9440F0BA">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37BB4F30"/>
    <w:multiLevelType w:val="hybridMultilevel"/>
    <w:tmpl w:val="858245A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D228EF"/>
    <w:multiLevelType w:val="hybridMultilevel"/>
    <w:tmpl w:val="10B8BE8A"/>
    <w:lvl w:ilvl="0" w:tplc="90327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979D4"/>
    <w:multiLevelType w:val="hybridMultilevel"/>
    <w:tmpl w:val="3F84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B28FC"/>
    <w:multiLevelType w:val="hybridMultilevel"/>
    <w:tmpl w:val="1BEE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4225E"/>
    <w:multiLevelType w:val="hybridMultilevel"/>
    <w:tmpl w:val="2F287640"/>
    <w:lvl w:ilvl="0" w:tplc="C4601FA6">
      <w:start w:val="1"/>
      <w:numFmt w:val="lowerRoman"/>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7" w15:restartNumberingAfterBreak="0">
    <w:nsid w:val="3E0B7FF8"/>
    <w:multiLevelType w:val="hybridMultilevel"/>
    <w:tmpl w:val="533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352A7A"/>
    <w:multiLevelType w:val="hybridMultilevel"/>
    <w:tmpl w:val="2A70901E"/>
    <w:lvl w:ilvl="0" w:tplc="6524710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16748B2"/>
    <w:multiLevelType w:val="hybridMultilevel"/>
    <w:tmpl w:val="0B38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996CD7"/>
    <w:multiLevelType w:val="hybridMultilevel"/>
    <w:tmpl w:val="763E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6B008C7"/>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33" w15:restartNumberingAfterBreak="0">
    <w:nsid w:val="48E11EC1"/>
    <w:multiLevelType w:val="hybridMultilevel"/>
    <w:tmpl w:val="021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D12E09"/>
    <w:multiLevelType w:val="hybridMultilevel"/>
    <w:tmpl w:val="A8AC67E4"/>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35" w15:restartNumberingAfterBreak="0">
    <w:nsid w:val="4AC658F9"/>
    <w:multiLevelType w:val="hybridMultilevel"/>
    <w:tmpl w:val="25823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37" w15:restartNumberingAfterBreak="0">
    <w:nsid w:val="4CBD36CE"/>
    <w:multiLevelType w:val="hybridMultilevel"/>
    <w:tmpl w:val="DCF2C2C6"/>
    <w:lvl w:ilvl="0" w:tplc="0388B4F4">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E722D43"/>
    <w:multiLevelType w:val="hybridMultilevel"/>
    <w:tmpl w:val="49AC9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8D4E23"/>
    <w:multiLevelType w:val="hybridMultilevel"/>
    <w:tmpl w:val="B784CB32"/>
    <w:lvl w:ilvl="0" w:tplc="181094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1654D9"/>
    <w:multiLevelType w:val="hybridMultilevel"/>
    <w:tmpl w:val="B9F8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D468E4"/>
    <w:multiLevelType w:val="hybridMultilevel"/>
    <w:tmpl w:val="2AEAAEC8"/>
    <w:lvl w:ilvl="0" w:tplc="34982D74">
      <w:start w:val="1"/>
      <w:numFmt w:val="lowerLetter"/>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3220E3"/>
    <w:multiLevelType w:val="hybridMultilevel"/>
    <w:tmpl w:val="A5DA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FF398B"/>
    <w:multiLevelType w:val="hybridMultilevel"/>
    <w:tmpl w:val="858245A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9E1D73"/>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45" w15:restartNumberingAfterBreak="0">
    <w:nsid w:val="61676681"/>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6" w15:restartNumberingAfterBreak="0">
    <w:nsid w:val="62A10592"/>
    <w:multiLevelType w:val="hybridMultilevel"/>
    <w:tmpl w:val="D3248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9D43FC"/>
    <w:multiLevelType w:val="hybridMultilevel"/>
    <w:tmpl w:val="B042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8B77A1"/>
    <w:multiLevelType w:val="hybridMultilevel"/>
    <w:tmpl w:val="5850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0"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51" w15:restartNumberingAfterBreak="0">
    <w:nsid w:val="666A3A06"/>
    <w:multiLevelType w:val="hybridMultilevel"/>
    <w:tmpl w:val="E470391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094706"/>
    <w:multiLevelType w:val="hybridMultilevel"/>
    <w:tmpl w:val="E05A5D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5D5779"/>
    <w:multiLevelType w:val="multilevel"/>
    <w:tmpl w:val="3EE42118"/>
    <w:lvl w:ilvl="0">
      <w:start w:val="1"/>
      <w:numFmt w:val="decimal"/>
      <w:pStyle w:val="Heading1"/>
      <w:lvlText w:val="%1"/>
      <w:lvlJc w:val="left"/>
      <w:pPr>
        <w:ind w:left="432" w:hanging="432"/>
      </w:pPr>
    </w:lvl>
    <w:lvl w:ilvl="1">
      <w:start w:val="1"/>
      <w:numFmt w:val="decimal"/>
      <w:pStyle w:val="Heading2"/>
      <w:lvlText w:val="%1.%2"/>
      <w:lvlJc w:val="left"/>
      <w:pPr>
        <w:ind w:left="497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699A7D84"/>
    <w:multiLevelType w:val="hybridMultilevel"/>
    <w:tmpl w:val="172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BA54AC"/>
    <w:multiLevelType w:val="hybridMultilevel"/>
    <w:tmpl w:val="43E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796472"/>
    <w:multiLevelType w:val="hybridMultilevel"/>
    <w:tmpl w:val="858245A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E4595D"/>
    <w:multiLevelType w:val="hybridMultilevel"/>
    <w:tmpl w:val="1200D59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8" w15:restartNumberingAfterBreak="0">
    <w:nsid w:val="71755AD1"/>
    <w:multiLevelType w:val="hybridMultilevel"/>
    <w:tmpl w:val="E410D9B0"/>
    <w:lvl w:ilvl="0" w:tplc="AC5860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9" w15:restartNumberingAfterBreak="0">
    <w:nsid w:val="771E1313"/>
    <w:multiLevelType w:val="hybridMultilevel"/>
    <w:tmpl w:val="C7B88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8C15835"/>
    <w:multiLevelType w:val="hybridMultilevel"/>
    <w:tmpl w:val="5658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83535F"/>
    <w:multiLevelType w:val="hybridMultilevel"/>
    <w:tmpl w:val="588EA8FC"/>
    <w:lvl w:ilvl="0" w:tplc="90327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53344B"/>
    <w:multiLevelType w:val="hybridMultilevel"/>
    <w:tmpl w:val="B56A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5648F0"/>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64" w15:restartNumberingAfterBreak="0">
    <w:nsid w:val="7FDC6CCF"/>
    <w:multiLevelType w:val="hybridMultilevel"/>
    <w:tmpl w:val="0410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4"/>
  </w:num>
  <w:num w:numId="7">
    <w:abstractNumId w:val="33"/>
  </w:num>
  <w:num w:numId="8">
    <w:abstractNumId w:val="6"/>
  </w:num>
  <w:num w:numId="9">
    <w:abstractNumId w:val="11"/>
  </w:num>
  <w:num w:numId="10">
    <w:abstractNumId w:val="3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50"/>
  </w:num>
  <w:num w:numId="15">
    <w:abstractNumId w:val="19"/>
  </w:num>
  <w:num w:numId="16">
    <w:abstractNumId w:val="55"/>
  </w:num>
  <w:num w:numId="17">
    <w:abstractNumId w:val="57"/>
  </w:num>
  <w:num w:numId="18">
    <w:abstractNumId w:val="53"/>
  </w:num>
  <w:num w:numId="19">
    <w:abstractNumId w:val="38"/>
  </w:num>
  <w:num w:numId="20">
    <w:abstractNumId w:val="3"/>
  </w:num>
  <w:num w:numId="21">
    <w:abstractNumId w:val="4"/>
  </w:num>
  <w:num w:numId="22">
    <w:abstractNumId w:val="52"/>
  </w:num>
  <w:num w:numId="23">
    <w:abstractNumId w:val="16"/>
  </w:num>
  <w:num w:numId="24">
    <w:abstractNumId w:val="53"/>
  </w:num>
  <w:num w:numId="25">
    <w:abstractNumId w:val="37"/>
  </w:num>
  <w:num w:numId="26">
    <w:abstractNumId w:val="37"/>
  </w:num>
  <w:num w:numId="27">
    <w:abstractNumId w:val="53"/>
  </w:num>
  <w:num w:numId="28">
    <w:abstractNumId w:val="13"/>
  </w:num>
  <w:num w:numId="29">
    <w:abstractNumId w:val="58"/>
  </w:num>
  <w:num w:numId="30">
    <w:abstractNumId w:val="42"/>
  </w:num>
  <w:num w:numId="31">
    <w:abstractNumId w:val="9"/>
  </w:num>
  <w:num w:numId="32">
    <w:abstractNumId w:val="35"/>
  </w:num>
  <w:num w:numId="33">
    <w:abstractNumId w:val="60"/>
  </w:num>
  <w:num w:numId="34">
    <w:abstractNumId w:val="47"/>
  </w:num>
  <w:num w:numId="35">
    <w:abstractNumId w:val="0"/>
  </w:num>
  <w:num w:numId="36">
    <w:abstractNumId w:val="7"/>
  </w:num>
  <w:num w:numId="37">
    <w:abstractNumId w:val="45"/>
  </w:num>
  <w:num w:numId="38">
    <w:abstractNumId w:val="8"/>
  </w:num>
  <w:num w:numId="39">
    <w:abstractNumId w:val="63"/>
  </w:num>
  <w:num w:numId="40">
    <w:abstractNumId w:val="5"/>
  </w:num>
  <w:num w:numId="41">
    <w:abstractNumId w:val="15"/>
  </w:num>
  <w:num w:numId="42">
    <w:abstractNumId w:val="21"/>
  </w:num>
  <w:num w:numId="43">
    <w:abstractNumId w:val="32"/>
  </w:num>
  <w:num w:numId="44">
    <w:abstractNumId w:val="56"/>
  </w:num>
  <w:num w:numId="45">
    <w:abstractNumId w:val="39"/>
  </w:num>
  <w:num w:numId="46">
    <w:abstractNumId w:val="26"/>
  </w:num>
  <w:num w:numId="47">
    <w:abstractNumId w:val="41"/>
  </w:num>
  <w:num w:numId="48">
    <w:abstractNumId w:val="51"/>
  </w:num>
  <w:num w:numId="49">
    <w:abstractNumId w:val="59"/>
  </w:num>
  <w:num w:numId="50">
    <w:abstractNumId w:val="40"/>
  </w:num>
  <w:num w:numId="51">
    <w:abstractNumId w:val="10"/>
  </w:num>
  <w:num w:numId="52">
    <w:abstractNumId w:val="44"/>
  </w:num>
  <w:num w:numId="53">
    <w:abstractNumId w:val="14"/>
  </w:num>
  <w:num w:numId="54">
    <w:abstractNumId w:val="12"/>
  </w:num>
  <w:num w:numId="55">
    <w:abstractNumId w:val="30"/>
  </w:num>
  <w:num w:numId="56">
    <w:abstractNumId w:val="43"/>
  </w:num>
  <w:num w:numId="57">
    <w:abstractNumId w:val="22"/>
  </w:num>
  <w:num w:numId="58">
    <w:abstractNumId w:val="20"/>
  </w:num>
  <w:num w:numId="59">
    <w:abstractNumId w:val="48"/>
  </w:num>
  <w:num w:numId="60">
    <w:abstractNumId w:val="62"/>
  </w:num>
  <w:num w:numId="61">
    <w:abstractNumId w:val="61"/>
  </w:num>
  <w:num w:numId="62">
    <w:abstractNumId w:val="23"/>
  </w:num>
  <w:num w:numId="63">
    <w:abstractNumId w:val="2"/>
  </w:num>
  <w:num w:numId="64">
    <w:abstractNumId w:val="24"/>
  </w:num>
  <w:num w:numId="65">
    <w:abstractNumId w:val="54"/>
  </w:num>
  <w:num w:numId="66">
    <w:abstractNumId w:val="64"/>
  </w:num>
  <w:num w:numId="67">
    <w:abstractNumId w:val="27"/>
  </w:num>
  <w:num w:numId="68">
    <w:abstractNumId w:val="53"/>
  </w:num>
  <w:num w:numId="69">
    <w:abstractNumId w:val="53"/>
  </w:num>
  <w:num w:numId="70">
    <w:abstractNumId w:val="53"/>
  </w:num>
  <w:num w:numId="71">
    <w:abstractNumId w:val="53"/>
  </w:num>
  <w:num w:numId="72">
    <w:abstractNumId w:val="46"/>
  </w:num>
  <w:num w:numId="73">
    <w:abstractNumId w:val="37"/>
  </w:num>
  <w:num w:numId="74">
    <w:abstractNumId w:val="37"/>
  </w:num>
  <w:num w:numId="75">
    <w:abstractNumId w:val="37"/>
  </w:num>
  <w:num w:numId="76">
    <w:abstractNumId w:val="37"/>
  </w:num>
  <w:num w:numId="77">
    <w:abstractNumId w:val="18"/>
  </w:num>
  <w:num w:numId="78">
    <w:abstractNumId w:val="17"/>
  </w:num>
  <w:num w:numId="79">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697"/>
    <w:rsid w:val="00001224"/>
    <w:rsid w:val="000016FD"/>
    <w:rsid w:val="00001CF2"/>
    <w:rsid w:val="0000247B"/>
    <w:rsid w:val="000027DA"/>
    <w:rsid w:val="000028C9"/>
    <w:rsid w:val="000028F4"/>
    <w:rsid w:val="00004274"/>
    <w:rsid w:val="0000469B"/>
    <w:rsid w:val="0000499B"/>
    <w:rsid w:val="000067B5"/>
    <w:rsid w:val="00007A42"/>
    <w:rsid w:val="00010091"/>
    <w:rsid w:val="000113D3"/>
    <w:rsid w:val="00012235"/>
    <w:rsid w:val="000129D4"/>
    <w:rsid w:val="000157DD"/>
    <w:rsid w:val="0001605D"/>
    <w:rsid w:val="00016CB6"/>
    <w:rsid w:val="000206BD"/>
    <w:rsid w:val="00021235"/>
    <w:rsid w:val="0002182A"/>
    <w:rsid w:val="00022DBC"/>
    <w:rsid w:val="0002383A"/>
    <w:rsid w:val="00023FBB"/>
    <w:rsid w:val="00025574"/>
    <w:rsid w:val="000257D3"/>
    <w:rsid w:val="00026A2C"/>
    <w:rsid w:val="00026E9F"/>
    <w:rsid w:val="00030F48"/>
    <w:rsid w:val="000315DB"/>
    <w:rsid w:val="00031DB4"/>
    <w:rsid w:val="000338EF"/>
    <w:rsid w:val="00033CB5"/>
    <w:rsid w:val="00034F87"/>
    <w:rsid w:val="000353B3"/>
    <w:rsid w:val="00035D41"/>
    <w:rsid w:val="00035F98"/>
    <w:rsid w:val="00035FF3"/>
    <w:rsid w:val="00036C23"/>
    <w:rsid w:val="00037D38"/>
    <w:rsid w:val="00041255"/>
    <w:rsid w:val="00041B2B"/>
    <w:rsid w:val="000427B2"/>
    <w:rsid w:val="000436B6"/>
    <w:rsid w:val="000451AB"/>
    <w:rsid w:val="00046444"/>
    <w:rsid w:val="00047011"/>
    <w:rsid w:val="0005030C"/>
    <w:rsid w:val="00050E9C"/>
    <w:rsid w:val="00051021"/>
    <w:rsid w:val="00051D51"/>
    <w:rsid w:val="00051E91"/>
    <w:rsid w:val="00051ED9"/>
    <w:rsid w:val="00052BB6"/>
    <w:rsid w:val="000550EF"/>
    <w:rsid w:val="000564DE"/>
    <w:rsid w:val="00057181"/>
    <w:rsid w:val="00060144"/>
    <w:rsid w:val="00063295"/>
    <w:rsid w:val="00064110"/>
    <w:rsid w:val="00064B2D"/>
    <w:rsid w:val="00065F1F"/>
    <w:rsid w:val="00073213"/>
    <w:rsid w:val="000735FD"/>
    <w:rsid w:val="000743F1"/>
    <w:rsid w:val="0007466A"/>
    <w:rsid w:val="00074729"/>
    <w:rsid w:val="00074C8C"/>
    <w:rsid w:val="00075EAE"/>
    <w:rsid w:val="00076D33"/>
    <w:rsid w:val="00076D3B"/>
    <w:rsid w:val="000778D6"/>
    <w:rsid w:val="00083ABE"/>
    <w:rsid w:val="00086FEF"/>
    <w:rsid w:val="000877DD"/>
    <w:rsid w:val="00087E5E"/>
    <w:rsid w:val="0009106C"/>
    <w:rsid w:val="00091CC2"/>
    <w:rsid w:val="000943C0"/>
    <w:rsid w:val="00094681"/>
    <w:rsid w:val="00096D20"/>
    <w:rsid w:val="0009727A"/>
    <w:rsid w:val="000A0D4E"/>
    <w:rsid w:val="000A27E9"/>
    <w:rsid w:val="000A2FC5"/>
    <w:rsid w:val="000A3D8B"/>
    <w:rsid w:val="000A5DF8"/>
    <w:rsid w:val="000A67FE"/>
    <w:rsid w:val="000A6C24"/>
    <w:rsid w:val="000B1E0C"/>
    <w:rsid w:val="000B5A79"/>
    <w:rsid w:val="000B5DE9"/>
    <w:rsid w:val="000B6AF2"/>
    <w:rsid w:val="000B7399"/>
    <w:rsid w:val="000C0772"/>
    <w:rsid w:val="000C24E5"/>
    <w:rsid w:val="000C2F18"/>
    <w:rsid w:val="000C412C"/>
    <w:rsid w:val="000C4313"/>
    <w:rsid w:val="000D19D7"/>
    <w:rsid w:val="000D273B"/>
    <w:rsid w:val="000D295F"/>
    <w:rsid w:val="000D46CE"/>
    <w:rsid w:val="000D591C"/>
    <w:rsid w:val="000D649E"/>
    <w:rsid w:val="000D6FD4"/>
    <w:rsid w:val="000E0533"/>
    <w:rsid w:val="000E0AE4"/>
    <w:rsid w:val="000E2BD4"/>
    <w:rsid w:val="000E2EBC"/>
    <w:rsid w:val="000E3DBC"/>
    <w:rsid w:val="000E6355"/>
    <w:rsid w:val="000E6676"/>
    <w:rsid w:val="000F03C6"/>
    <w:rsid w:val="000F03E4"/>
    <w:rsid w:val="000F078B"/>
    <w:rsid w:val="000F26C3"/>
    <w:rsid w:val="000F7436"/>
    <w:rsid w:val="0010037D"/>
    <w:rsid w:val="00103178"/>
    <w:rsid w:val="00104010"/>
    <w:rsid w:val="00105BEB"/>
    <w:rsid w:val="00107C9E"/>
    <w:rsid w:val="00110D87"/>
    <w:rsid w:val="00111176"/>
    <w:rsid w:val="00111E48"/>
    <w:rsid w:val="001123A9"/>
    <w:rsid w:val="00113CE3"/>
    <w:rsid w:val="001160AF"/>
    <w:rsid w:val="001161A8"/>
    <w:rsid w:val="00117522"/>
    <w:rsid w:val="00120BD3"/>
    <w:rsid w:val="00121C55"/>
    <w:rsid w:val="00121E1D"/>
    <w:rsid w:val="001225BB"/>
    <w:rsid w:val="00126337"/>
    <w:rsid w:val="001277FC"/>
    <w:rsid w:val="0013340D"/>
    <w:rsid w:val="00135852"/>
    <w:rsid w:val="001407E1"/>
    <w:rsid w:val="001471B7"/>
    <w:rsid w:val="00150F72"/>
    <w:rsid w:val="00151550"/>
    <w:rsid w:val="001542D8"/>
    <w:rsid w:val="00157A73"/>
    <w:rsid w:val="001613EB"/>
    <w:rsid w:val="00161E78"/>
    <w:rsid w:val="00164084"/>
    <w:rsid w:val="00167F3D"/>
    <w:rsid w:val="00171084"/>
    <w:rsid w:val="00171088"/>
    <w:rsid w:val="001719D6"/>
    <w:rsid w:val="001723C1"/>
    <w:rsid w:val="001728A9"/>
    <w:rsid w:val="00173F34"/>
    <w:rsid w:val="001750A9"/>
    <w:rsid w:val="001755E7"/>
    <w:rsid w:val="00180C41"/>
    <w:rsid w:val="001812F5"/>
    <w:rsid w:val="001812F9"/>
    <w:rsid w:val="00182C4C"/>
    <w:rsid w:val="00183166"/>
    <w:rsid w:val="00183D99"/>
    <w:rsid w:val="00186BD1"/>
    <w:rsid w:val="00190092"/>
    <w:rsid w:val="00190304"/>
    <w:rsid w:val="00191232"/>
    <w:rsid w:val="00195254"/>
    <w:rsid w:val="00197D8D"/>
    <w:rsid w:val="001A0264"/>
    <w:rsid w:val="001A04F6"/>
    <w:rsid w:val="001A1A75"/>
    <w:rsid w:val="001A2C64"/>
    <w:rsid w:val="001A3322"/>
    <w:rsid w:val="001A3A55"/>
    <w:rsid w:val="001A4312"/>
    <w:rsid w:val="001A4DC2"/>
    <w:rsid w:val="001A4E61"/>
    <w:rsid w:val="001A640C"/>
    <w:rsid w:val="001A7682"/>
    <w:rsid w:val="001A7E9A"/>
    <w:rsid w:val="001B200F"/>
    <w:rsid w:val="001B4E55"/>
    <w:rsid w:val="001B6E16"/>
    <w:rsid w:val="001B7DA1"/>
    <w:rsid w:val="001B7F5D"/>
    <w:rsid w:val="001C09EC"/>
    <w:rsid w:val="001C0A09"/>
    <w:rsid w:val="001C27A3"/>
    <w:rsid w:val="001C282C"/>
    <w:rsid w:val="001C3C6C"/>
    <w:rsid w:val="001C3D2F"/>
    <w:rsid w:val="001C5295"/>
    <w:rsid w:val="001C562A"/>
    <w:rsid w:val="001C564A"/>
    <w:rsid w:val="001C667B"/>
    <w:rsid w:val="001C7107"/>
    <w:rsid w:val="001D18C7"/>
    <w:rsid w:val="001D2963"/>
    <w:rsid w:val="001E09FA"/>
    <w:rsid w:val="001E1769"/>
    <w:rsid w:val="001E37F4"/>
    <w:rsid w:val="001E68D3"/>
    <w:rsid w:val="001E7CB6"/>
    <w:rsid w:val="001F0485"/>
    <w:rsid w:val="001F4646"/>
    <w:rsid w:val="001F5B9C"/>
    <w:rsid w:val="001F6652"/>
    <w:rsid w:val="001F719F"/>
    <w:rsid w:val="001F74B2"/>
    <w:rsid w:val="001F7545"/>
    <w:rsid w:val="00203540"/>
    <w:rsid w:val="00203576"/>
    <w:rsid w:val="00203A96"/>
    <w:rsid w:val="002048F3"/>
    <w:rsid w:val="0020499D"/>
    <w:rsid w:val="00204B1F"/>
    <w:rsid w:val="00205396"/>
    <w:rsid w:val="002054E7"/>
    <w:rsid w:val="0020685A"/>
    <w:rsid w:val="0020736B"/>
    <w:rsid w:val="0021028F"/>
    <w:rsid w:val="00212243"/>
    <w:rsid w:val="00212EDE"/>
    <w:rsid w:val="002149C5"/>
    <w:rsid w:val="0021522C"/>
    <w:rsid w:val="00215FE8"/>
    <w:rsid w:val="002161F3"/>
    <w:rsid w:val="002176CC"/>
    <w:rsid w:val="00221B27"/>
    <w:rsid w:val="00221D07"/>
    <w:rsid w:val="002252F4"/>
    <w:rsid w:val="00227E4A"/>
    <w:rsid w:val="00232C6F"/>
    <w:rsid w:val="00236567"/>
    <w:rsid w:val="002403AB"/>
    <w:rsid w:val="00241828"/>
    <w:rsid w:val="002432EE"/>
    <w:rsid w:val="002450CB"/>
    <w:rsid w:val="0024582E"/>
    <w:rsid w:val="00247057"/>
    <w:rsid w:val="00252F12"/>
    <w:rsid w:val="002547EF"/>
    <w:rsid w:val="00256D65"/>
    <w:rsid w:val="00256FC4"/>
    <w:rsid w:val="00260A49"/>
    <w:rsid w:val="00260F2E"/>
    <w:rsid w:val="00261D5F"/>
    <w:rsid w:val="002626DC"/>
    <w:rsid w:val="00265BFC"/>
    <w:rsid w:val="00265D2E"/>
    <w:rsid w:val="002710BF"/>
    <w:rsid w:val="00271F00"/>
    <w:rsid w:val="00272365"/>
    <w:rsid w:val="00273A80"/>
    <w:rsid w:val="002743B1"/>
    <w:rsid w:val="0027513D"/>
    <w:rsid w:val="00276026"/>
    <w:rsid w:val="00277BA5"/>
    <w:rsid w:val="0028047F"/>
    <w:rsid w:val="00282F52"/>
    <w:rsid w:val="00284538"/>
    <w:rsid w:val="00284C21"/>
    <w:rsid w:val="002851C8"/>
    <w:rsid w:val="00290A4D"/>
    <w:rsid w:val="002914FF"/>
    <w:rsid w:val="0029204E"/>
    <w:rsid w:val="00294BAD"/>
    <w:rsid w:val="0029631C"/>
    <w:rsid w:val="002A0194"/>
    <w:rsid w:val="002A3312"/>
    <w:rsid w:val="002A359F"/>
    <w:rsid w:val="002A3843"/>
    <w:rsid w:val="002A38B6"/>
    <w:rsid w:val="002A5F8B"/>
    <w:rsid w:val="002A6528"/>
    <w:rsid w:val="002A7C1E"/>
    <w:rsid w:val="002A7DFE"/>
    <w:rsid w:val="002A7F6C"/>
    <w:rsid w:val="002B01D8"/>
    <w:rsid w:val="002B0D8E"/>
    <w:rsid w:val="002B4D4D"/>
    <w:rsid w:val="002B73E6"/>
    <w:rsid w:val="002C03CC"/>
    <w:rsid w:val="002C081A"/>
    <w:rsid w:val="002C1555"/>
    <w:rsid w:val="002C1C9D"/>
    <w:rsid w:val="002C2A21"/>
    <w:rsid w:val="002C4A91"/>
    <w:rsid w:val="002C725C"/>
    <w:rsid w:val="002D1602"/>
    <w:rsid w:val="002D5ABD"/>
    <w:rsid w:val="002D649D"/>
    <w:rsid w:val="002D6809"/>
    <w:rsid w:val="002D7170"/>
    <w:rsid w:val="002E086A"/>
    <w:rsid w:val="002E1756"/>
    <w:rsid w:val="002E2678"/>
    <w:rsid w:val="002E3986"/>
    <w:rsid w:val="002E4B0C"/>
    <w:rsid w:val="002E4F43"/>
    <w:rsid w:val="002E6503"/>
    <w:rsid w:val="002E6F29"/>
    <w:rsid w:val="002E7E51"/>
    <w:rsid w:val="002F06D8"/>
    <w:rsid w:val="002F09B8"/>
    <w:rsid w:val="002F38DD"/>
    <w:rsid w:val="002F435D"/>
    <w:rsid w:val="002F47D9"/>
    <w:rsid w:val="002F6488"/>
    <w:rsid w:val="00300207"/>
    <w:rsid w:val="003011EC"/>
    <w:rsid w:val="00302799"/>
    <w:rsid w:val="0030279C"/>
    <w:rsid w:val="00303395"/>
    <w:rsid w:val="003056C1"/>
    <w:rsid w:val="0030704F"/>
    <w:rsid w:val="00310E84"/>
    <w:rsid w:val="00312F71"/>
    <w:rsid w:val="00313930"/>
    <w:rsid w:val="00314F16"/>
    <w:rsid w:val="0031563E"/>
    <w:rsid w:val="00315A71"/>
    <w:rsid w:val="003213F9"/>
    <w:rsid w:val="00323DBF"/>
    <w:rsid w:val="00324149"/>
    <w:rsid w:val="00324478"/>
    <w:rsid w:val="0032480C"/>
    <w:rsid w:val="003258BB"/>
    <w:rsid w:val="003264A9"/>
    <w:rsid w:val="0032663E"/>
    <w:rsid w:val="003309A8"/>
    <w:rsid w:val="003325BA"/>
    <w:rsid w:val="00332B12"/>
    <w:rsid w:val="00333C82"/>
    <w:rsid w:val="0033470E"/>
    <w:rsid w:val="00334B3D"/>
    <w:rsid w:val="00336711"/>
    <w:rsid w:val="003369D2"/>
    <w:rsid w:val="00340E07"/>
    <w:rsid w:val="00344CAB"/>
    <w:rsid w:val="00346579"/>
    <w:rsid w:val="00347935"/>
    <w:rsid w:val="00350764"/>
    <w:rsid w:val="00350DBD"/>
    <w:rsid w:val="00351927"/>
    <w:rsid w:val="00351B07"/>
    <w:rsid w:val="0035279A"/>
    <w:rsid w:val="00361642"/>
    <w:rsid w:val="00361EB0"/>
    <w:rsid w:val="00361ED3"/>
    <w:rsid w:val="0036268A"/>
    <w:rsid w:val="00364841"/>
    <w:rsid w:val="00365246"/>
    <w:rsid w:val="00370445"/>
    <w:rsid w:val="00371B29"/>
    <w:rsid w:val="00372182"/>
    <w:rsid w:val="00373CE3"/>
    <w:rsid w:val="0037520F"/>
    <w:rsid w:val="00375473"/>
    <w:rsid w:val="0037639D"/>
    <w:rsid w:val="003776DA"/>
    <w:rsid w:val="003778F2"/>
    <w:rsid w:val="0038082C"/>
    <w:rsid w:val="00383180"/>
    <w:rsid w:val="003853BB"/>
    <w:rsid w:val="00385758"/>
    <w:rsid w:val="0038647F"/>
    <w:rsid w:val="00387F6E"/>
    <w:rsid w:val="00391769"/>
    <w:rsid w:val="00392C14"/>
    <w:rsid w:val="00395391"/>
    <w:rsid w:val="003953E1"/>
    <w:rsid w:val="003956B3"/>
    <w:rsid w:val="00397F00"/>
    <w:rsid w:val="003A63B7"/>
    <w:rsid w:val="003A68BE"/>
    <w:rsid w:val="003A7725"/>
    <w:rsid w:val="003A7EB9"/>
    <w:rsid w:val="003B052A"/>
    <w:rsid w:val="003B086F"/>
    <w:rsid w:val="003B0978"/>
    <w:rsid w:val="003B1234"/>
    <w:rsid w:val="003B27C0"/>
    <w:rsid w:val="003B3C9D"/>
    <w:rsid w:val="003B4160"/>
    <w:rsid w:val="003B584A"/>
    <w:rsid w:val="003B70E4"/>
    <w:rsid w:val="003B78E0"/>
    <w:rsid w:val="003C0230"/>
    <w:rsid w:val="003C0AC6"/>
    <w:rsid w:val="003C1011"/>
    <w:rsid w:val="003C17C4"/>
    <w:rsid w:val="003C45A3"/>
    <w:rsid w:val="003C4969"/>
    <w:rsid w:val="003C4C4E"/>
    <w:rsid w:val="003C6298"/>
    <w:rsid w:val="003D060A"/>
    <w:rsid w:val="003D1BD9"/>
    <w:rsid w:val="003D68AB"/>
    <w:rsid w:val="003D6A26"/>
    <w:rsid w:val="003E0A1B"/>
    <w:rsid w:val="003E1510"/>
    <w:rsid w:val="003E2C27"/>
    <w:rsid w:val="003E3D7A"/>
    <w:rsid w:val="003E41D5"/>
    <w:rsid w:val="003E46BA"/>
    <w:rsid w:val="003E4F44"/>
    <w:rsid w:val="003E617A"/>
    <w:rsid w:val="003E685B"/>
    <w:rsid w:val="003E77E5"/>
    <w:rsid w:val="003E7972"/>
    <w:rsid w:val="003E7D22"/>
    <w:rsid w:val="003F2008"/>
    <w:rsid w:val="003F3535"/>
    <w:rsid w:val="003F5785"/>
    <w:rsid w:val="003F74C1"/>
    <w:rsid w:val="003F776F"/>
    <w:rsid w:val="003F7FBA"/>
    <w:rsid w:val="004019AF"/>
    <w:rsid w:val="00403044"/>
    <w:rsid w:val="004036DD"/>
    <w:rsid w:val="00405304"/>
    <w:rsid w:val="00405B1A"/>
    <w:rsid w:val="00407241"/>
    <w:rsid w:val="0040761E"/>
    <w:rsid w:val="00407DF4"/>
    <w:rsid w:val="00410006"/>
    <w:rsid w:val="00410C76"/>
    <w:rsid w:val="00411907"/>
    <w:rsid w:val="004120A9"/>
    <w:rsid w:val="00412CE6"/>
    <w:rsid w:val="00412D71"/>
    <w:rsid w:val="00413621"/>
    <w:rsid w:val="00413CA8"/>
    <w:rsid w:val="00417EE3"/>
    <w:rsid w:val="004207EB"/>
    <w:rsid w:val="00423CBA"/>
    <w:rsid w:val="00424A38"/>
    <w:rsid w:val="00425F20"/>
    <w:rsid w:val="00431F1E"/>
    <w:rsid w:val="0043226E"/>
    <w:rsid w:val="00433D61"/>
    <w:rsid w:val="004349CD"/>
    <w:rsid w:val="00435FA5"/>
    <w:rsid w:val="00436B8D"/>
    <w:rsid w:val="00437276"/>
    <w:rsid w:val="00437D2F"/>
    <w:rsid w:val="0044306D"/>
    <w:rsid w:val="004434B0"/>
    <w:rsid w:val="004449E0"/>
    <w:rsid w:val="00446212"/>
    <w:rsid w:val="00447E67"/>
    <w:rsid w:val="004500E9"/>
    <w:rsid w:val="004507AE"/>
    <w:rsid w:val="00450B45"/>
    <w:rsid w:val="004511E8"/>
    <w:rsid w:val="00454F41"/>
    <w:rsid w:val="0045556F"/>
    <w:rsid w:val="00455E42"/>
    <w:rsid w:val="00456B54"/>
    <w:rsid w:val="00457341"/>
    <w:rsid w:val="004612FE"/>
    <w:rsid w:val="00464643"/>
    <w:rsid w:val="004646F8"/>
    <w:rsid w:val="00464F15"/>
    <w:rsid w:val="00465397"/>
    <w:rsid w:val="0047216C"/>
    <w:rsid w:val="004730EE"/>
    <w:rsid w:val="00480BFA"/>
    <w:rsid w:val="00480F9C"/>
    <w:rsid w:val="00481687"/>
    <w:rsid w:val="0048214A"/>
    <w:rsid w:val="00484019"/>
    <w:rsid w:val="0048524F"/>
    <w:rsid w:val="004853DA"/>
    <w:rsid w:val="0048596C"/>
    <w:rsid w:val="004866D8"/>
    <w:rsid w:val="00486793"/>
    <w:rsid w:val="004867D1"/>
    <w:rsid w:val="0048695E"/>
    <w:rsid w:val="00487179"/>
    <w:rsid w:val="00490327"/>
    <w:rsid w:val="00490507"/>
    <w:rsid w:val="00491956"/>
    <w:rsid w:val="0049257C"/>
    <w:rsid w:val="004927FD"/>
    <w:rsid w:val="00494180"/>
    <w:rsid w:val="00494BAA"/>
    <w:rsid w:val="00495CC0"/>
    <w:rsid w:val="00496933"/>
    <w:rsid w:val="0049729B"/>
    <w:rsid w:val="004976AB"/>
    <w:rsid w:val="004A2037"/>
    <w:rsid w:val="004A33BA"/>
    <w:rsid w:val="004A3685"/>
    <w:rsid w:val="004A4089"/>
    <w:rsid w:val="004A433A"/>
    <w:rsid w:val="004A51E6"/>
    <w:rsid w:val="004A7211"/>
    <w:rsid w:val="004B0BD0"/>
    <w:rsid w:val="004B0C2A"/>
    <w:rsid w:val="004B103F"/>
    <w:rsid w:val="004B10E4"/>
    <w:rsid w:val="004B1541"/>
    <w:rsid w:val="004B2BE7"/>
    <w:rsid w:val="004B4D82"/>
    <w:rsid w:val="004B7C19"/>
    <w:rsid w:val="004C0097"/>
    <w:rsid w:val="004C2CE7"/>
    <w:rsid w:val="004C2D1E"/>
    <w:rsid w:val="004C2FC9"/>
    <w:rsid w:val="004C3B83"/>
    <w:rsid w:val="004C402B"/>
    <w:rsid w:val="004C47E5"/>
    <w:rsid w:val="004C6657"/>
    <w:rsid w:val="004C68F2"/>
    <w:rsid w:val="004C7DA7"/>
    <w:rsid w:val="004D0187"/>
    <w:rsid w:val="004D1D6F"/>
    <w:rsid w:val="004D28FF"/>
    <w:rsid w:val="004D30A6"/>
    <w:rsid w:val="004D5A91"/>
    <w:rsid w:val="004D6BBF"/>
    <w:rsid w:val="004D77AA"/>
    <w:rsid w:val="004E2108"/>
    <w:rsid w:val="004E5FF6"/>
    <w:rsid w:val="004E69B2"/>
    <w:rsid w:val="004E762B"/>
    <w:rsid w:val="004E7B07"/>
    <w:rsid w:val="004F3876"/>
    <w:rsid w:val="004F4F98"/>
    <w:rsid w:val="004F6958"/>
    <w:rsid w:val="004F69F6"/>
    <w:rsid w:val="004F79AC"/>
    <w:rsid w:val="00500A83"/>
    <w:rsid w:val="005017CF"/>
    <w:rsid w:val="0050254F"/>
    <w:rsid w:val="005049C1"/>
    <w:rsid w:val="00505947"/>
    <w:rsid w:val="00510461"/>
    <w:rsid w:val="00510B34"/>
    <w:rsid w:val="00512290"/>
    <w:rsid w:val="00514132"/>
    <w:rsid w:val="00517F9D"/>
    <w:rsid w:val="0052004F"/>
    <w:rsid w:val="005207D8"/>
    <w:rsid w:val="00520C8A"/>
    <w:rsid w:val="005213C8"/>
    <w:rsid w:val="00521F70"/>
    <w:rsid w:val="005248B9"/>
    <w:rsid w:val="0052649E"/>
    <w:rsid w:val="005305C3"/>
    <w:rsid w:val="005316E6"/>
    <w:rsid w:val="00531790"/>
    <w:rsid w:val="005322DF"/>
    <w:rsid w:val="00534230"/>
    <w:rsid w:val="0053464E"/>
    <w:rsid w:val="00534937"/>
    <w:rsid w:val="005358B0"/>
    <w:rsid w:val="00536147"/>
    <w:rsid w:val="00536209"/>
    <w:rsid w:val="0054085A"/>
    <w:rsid w:val="005417E5"/>
    <w:rsid w:val="00541A55"/>
    <w:rsid w:val="00542C5B"/>
    <w:rsid w:val="00550C55"/>
    <w:rsid w:val="00551722"/>
    <w:rsid w:val="00551CE8"/>
    <w:rsid w:val="00552C5B"/>
    <w:rsid w:val="00552FED"/>
    <w:rsid w:val="00553969"/>
    <w:rsid w:val="00553B18"/>
    <w:rsid w:val="005547A4"/>
    <w:rsid w:val="005550F8"/>
    <w:rsid w:val="005558C7"/>
    <w:rsid w:val="00556B58"/>
    <w:rsid w:val="00557EFA"/>
    <w:rsid w:val="005628DC"/>
    <w:rsid w:val="00562917"/>
    <w:rsid w:val="0056309A"/>
    <w:rsid w:val="00567ADA"/>
    <w:rsid w:val="00567F36"/>
    <w:rsid w:val="00570435"/>
    <w:rsid w:val="005711C5"/>
    <w:rsid w:val="005711F6"/>
    <w:rsid w:val="00571326"/>
    <w:rsid w:val="00571B34"/>
    <w:rsid w:val="00572E7E"/>
    <w:rsid w:val="005734A0"/>
    <w:rsid w:val="00575263"/>
    <w:rsid w:val="00576E9B"/>
    <w:rsid w:val="00580B7D"/>
    <w:rsid w:val="005832BB"/>
    <w:rsid w:val="00586228"/>
    <w:rsid w:val="00586920"/>
    <w:rsid w:val="0059131A"/>
    <w:rsid w:val="00591982"/>
    <w:rsid w:val="0059227F"/>
    <w:rsid w:val="0059498B"/>
    <w:rsid w:val="00594E08"/>
    <w:rsid w:val="00596C76"/>
    <w:rsid w:val="00597919"/>
    <w:rsid w:val="005A1C72"/>
    <w:rsid w:val="005A3A03"/>
    <w:rsid w:val="005A436B"/>
    <w:rsid w:val="005A5B51"/>
    <w:rsid w:val="005A771F"/>
    <w:rsid w:val="005A7B13"/>
    <w:rsid w:val="005B01E7"/>
    <w:rsid w:val="005B05C1"/>
    <w:rsid w:val="005B1A38"/>
    <w:rsid w:val="005B1FC4"/>
    <w:rsid w:val="005B615C"/>
    <w:rsid w:val="005B6AF4"/>
    <w:rsid w:val="005C04CB"/>
    <w:rsid w:val="005C11FA"/>
    <w:rsid w:val="005C2937"/>
    <w:rsid w:val="005C4399"/>
    <w:rsid w:val="005C60DC"/>
    <w:rsid w:val="005C6E99"/>
    <w:rsid w:val="005C71BA"/>
    <w:rsid w:val="005C7F3E"/>
    <w:rsid w:val="005D1559"/>
    <w:rsid w:val="005D16AD"/>
    <w:rsid w:val="005D1D3F"/>
    <w:rsid w:val="005D3E40"/>
    <w:rsid w:val="005D4BA2"/>
    <w:rsid w:val="005D72E1"/>
    <w:rsid w:val="005D765F"/>
    <w:rsid w:val="005E265B"/>
    <w:rsid w:val="005E29B7"/>
    <w:rsid w:val="005E2F53"/>
    <w:rsid w:val="005E45A1"/>
    <w:rsid w:val="005E520B"/>
    <w:rsid w:val="005E6225"/>
    <w:rsid w:val="005E6E16"/>
    <w:rsid w:val="005E7EEE"/>
    <w:rsid w:val="005F0A19"/>
    <w:rsid w:val="005F1E5A"/>
    <w:rsid w:val="005F400E"/>
    <w:rsid w:val="005F42F8"/>
    <w:rsid w:val="005F4F6D"/>
    <w:rsid w:val="005F7342"/>
    <w:rsid w:val="006005F1"/>
    <w:rsid w:val="00600B20"/>
    <w:rsid w:val="00602E10"/>
    <w:rsid w:val="00603257"/>
    <w:rsid w:val="00603A08"/>
    <w:rsid w:val="00604210"/>
    <w:rsid w:val="00604B11"/>
    <w:rsid w:val="00605234"/>
    <w:rsid w:val="006066BC"/>
    <w:rsid w:val="00606B4C"/>
    <w:rsid w:val="00606C88"/>
    <w:rsid w:val="00607298"/>
    <w:rsid w:val="00610A3C"/>
    <w:rsid w:val="00613A7B"/>
    <w:rsid w:val="00617DE4"/>
    <w:rsid w:val="00620C06"/>
    <w:rsid w:val="00620D66"/>
    <w:rsid w:val="006211CD"/>
    <w:rsid w:val="006251A3"/>
    <w:rsid w:val="006252FD"/>
    <w:rsid w:val="00627F48"/>
    <w:rsid w:val="006306E0"/>
    <w:rsid w:val="00632436"/>
    <w:rsid w:val="00633154"/>
    <w:rsid w:val="006333C2"/>
    <w:rsid w:val="00633ACA"/>
    <w:rsid w:val="006342E0"/>
    <w:rsid w:val="006351A7"/>
    <w:rsid w:val="0063651A"/>
    <w:rsid w:val="0064204F"/>
    <w:rsid w:val="00642328"/>
    <w:rsid w:val="00642A47"/>
    <w:rsid w:val="006464AF"/>
    <w:rsid w:val="00646FDD"/>
    <w:rsid w:val="0065211D"/>
    <w:rsid w:val="00654DDE"/>
    <w:rsid w:val="006602A0"/>
    <w:rsid w:val="00661494"/>
    <w:rsid w:val="0066158B"/>
    <w:rsid w:val="00661CB9"/>
    <w:rsid w:val="00662BCF"/>
    <w:rsid w:val="00663FCF"/>
    <w:rsid w:val="0066469A"/>
    <w:rsid w:val="006652A2"/>
    <w:rsid w:val="00665FFF"/>
    <w:rsid w:val="00666322"/>
    <w:rsid w:val="00666C32"/>
    <w:rsid w:val="006675FB"/>
    <w:rsid w:val="00676675"/>
    <w:rsid w:val="00681754"/>
    <w:rsid w:val="00681D53"/>
    <w:rsid w:val="00682E6F"/>
    <w:rsid w:val="00683E69"/>
    <w:rsid w:val="00683EE2"/>
    <w:rsid w:val="0068516F"/>
    <w:rsid w:val="00685269"/>
    <w:rsid w:val="006854B5"/>
    <w:rsid w:val="00685CF5"/>
    <w:rsid w:val="0069035C"/>
    <w:rsid w:val="006937FF"/>
    <w:rsid w:val="006965BF"/>
    <w:rsid w:val="00697004"/>
    <w:rsid w:val="006974F1"/>
    <w:rsid w:val="006A0CFE"/>
    <w:rsid w:val="006A1251"/>
    <w:rsid w:val="006A3B53"/>
    <w:rsid w:val="006A48A7"/>
    <w:rsid w:val="006A4A36"/>
    <w:rsid w:val="006A4B94"/>
    <w:rsid w:val="006A56F0"/>
    <w:rsid w:val="006A5AE3"/>
    <w:rsid w:val="006A6CED"/>
    <w:rsid w:val="006A70B3"/>
    <w:rsid w:val="006B0B6C"/>
    <w:rsid w:val="006B135C"/>
    <w:rsid w:val="006B2B8A"/>
    <w:rsid w:val="006B4BA1"/>
    <w:rsid w:val="006B7E39"/>
    <w:rsid w:val="006C09DE"/>
    <w:rsid w:val="006C2405"/>
    <w:rsid w:val="006C247A"/>
    <w:rsid w:val="006C28E2"/>
    <w:rsid w:val="006C44B5"/>
    <w:rsid w:val="006C518E"/>
    <w:rsid w:val="006C5A5E"/>
    <w:rsid w:val="006C5C46"/>
    <w:rsid w:val="006C5CF5"/>
    <w:rsid w:val="006C7EF8"/>
    <w:rsid w:val="006C7F69"/>
    <w:rsid w:val="006D542E"/>
    <w:rsid w:val="006D5D05"/>
    <w:rsid w:val="006D77C4"/>
    <w:rsid w:val="006E01E8"/>
    <w:rsid w:val="006E0DE7"/>
    <w:rsid w:val="006E39EF"/>
    <w:rsid w:val="006E3A58"/>
    <w:rsid w:val="006E3B2B"/>
    <w:rsid w:val="006E527D"/>
    <w:rsid w:val="006F17A0"/>
    <w:rsid w:val="006F22A3"/>
    <w:rsid w:val="006F3286"/>
    <w:rsid w:val="006F34B1"/>
    <w:rsid w:val="006F38B3"/>
    <w:rsid w:val="006F4A82"/>
    <w:rsid w:val="006F63B5"/>
    <w:rsid w:val="00700239"/>
    <w:rsid w:val="00700E4C"/>
    <w:rsid w:val="00701442"/>
    <w:rsid w:val="00702B84"/>
    <w:rsid w:val="0070373B"/>
    <w:rsid w:val="007047A6"/>
    <w:rsid w:val="007061B1"/>
    <w:rsid w:val="007069F8"/>
    <w:rsid w:val="00707E72"/>
    <w:rsid w:val="0071109B"/>
    <w:rsid w:val="007113EB"/>
    <w:rsid w:val="007140A0"/>
    <w:rsid w:val="007158AC"/>
    <w:rsid w:val="0072109C"/>
    <w:rsid w:val="0072150F"/>
    <w:rsid w:val="00722B79"/>
    <w:rsid w:val="00722C92"/>
    <w:rsid w:val="00724FA4"/>
    <w:rsid w:val="0072560D"/>
    <w:rsid w:val="00726637"/>
    <w:rsid w:val="00726C2F"/>
    <w:rsid w:val="00730800"/>
    <w:rsid w:val="007310CF"/>
    <w:rsid w:val="00732620"/>
    <w:rsid w:val="007327F0"/>
    <w:rsid w:val="007331F7"/>
    <w:rsid w:val="00734341"/>
    <w:rsid w:val="007368AB"/>
    <w:rsid w:val="007369C4"/>
    <w:rsid w:val="00736E85"/>
    <w:rsid w:val="00737902"/>
    <w:rsid w:val="00741EFE"/>
    <w:rsid w:val="00744134"/>
    <w:rsid w:val="00744353"/>
    <w:rsid w:val="00744B3D"/>
    <w:rsid w:val="007462BA"/>
    <w:rsid w:val="00752687"/>
    <w:rsid w:val="00752718"/>
    <w:rsid w:val="0075363F"/>
    <w:rsid w:val="00754A8B"/>
    <w:rsid w:val="007602AA"/>
    <w:rsid w:val="00764D33"/>
    <w:rsid w:val="00764FE1"/>
    <w:rsid w:val="007652EF"/>
    <w:rsid w:val="00765615"/>
    <w:rsid w:val="00765C78"/>
    <w:rsid w:val="00767961"/>
    <w:rsid w:val="00772834"/>
    <w:rsid w:val="00772BDC"/>
    <w:rsid w:val="00773033"/>
    <w:rsid w:val="00774709"/>
    <w:rsid w:val="0077494A"/>
    <w:rsid w:val="00780792"/>
    <w:rsid w:val="00782745"/>
    <w:rsid w:val="007841CE"/>
    <w:rsid w:val="00785375"/>
    <w:rsid w:val="00787568"/>
    <w:rsid w:val="007879C6"/>
    <w:rsid w:val="00787C65"/>
    <w:rsid w:val="00792C1B"/>
    <w:rsid w:val="00792C89"/>
    <w:rsid w:val="00794F3C"/>
    <w:rsid w:val="007A23E0"/>
    <w:rsid w:val="007A3193"/>
    <w:rsid w:val="007A44B4"/>
    <w:rsid w:val="007A4CA0"/>
    <w:rsid w:val="007A5D3F"/>
    <w:rsid w:val="007A7D3D"/>
    <w:rsid w:val="007B1492"/>
    <w:rsid w:val="007B225D"/>
    <w:rsid w:val="007B26C7"/>
    <w:rsid w:val="007B2D44"/>
    <w:rsid w:val="007B53A6"/>
    <w:rsid w:val="007B7398"/>
    <w:rsid w:val="007C0CB3"/>
    <w:rsid w:val="007C174F"/>
    <w:rsid w:val="007C1C64"/>
    <w:rsid w:val="007C5D42"/>
    <w:rsid w:val="007C5EA1"/>
    <w:rsid w:val="007C6746"/>
    <w:rsid w:val="007D0817"/>
    <w:rsid w:val="007D4043"/>
    <w:rsid w:val="007D40A1"/>
    <w:rsid w:val="007D538C"/>
    <w:rsid w:val="007E468C"/>
    <w:rsid w:val="007E48BC"/>
    <w:rsid w:val="007E5BA7"/>
    <w:rsid w:val="007E65AA"/>
    <w:rsid w:val="007E79F7"/>
    <w:rsid w:val="007E7B67"/>
    <w:rsid w:val="007F1774"/>
    <w:rsid w:val="007F2018"/>
    <w:rsid w:val="007F3630"/>
    <w:rsid w:val="007F472C"/>
    <w:rsid w:val="0080420F"/>
    <w:rsid w:val="00805344"/>
    <w:rsid w:val="00807559"/>
    <w:rsid w:val="00810C01"/>
    <w:rsid w:val="00812C74"/>
    <w:rsid w:val="008145EE"/>
    <w:rsid w:val="0081550D"/>
    <w:rsid w:val="00820309"/>
    <w:rsid w:val="00820535"/>
    <w:rsid w:val="00822A41"/>
    <w:rsid w:val="00822E7F"/>
    <w:rsid w:val="008265D4"/>
    <w:rsid w:val="00827B80"/>
    <w:rsid w:val="00834EE3"/>
    <w:rsid w:val="00835AD1"/>
    <w:rsid w:val="00835E78"/>
    <w:rsid w:val="00837C12"/>
    <w:rsid w:val="00837F55"/>
    <w:rsid w:val="008419E4"/>
    <w:rsid w:val="008450BC"/>
    <w:rsid w:val="0084758C"/>
    <w:rsid w:val="00851A60"/>
    <w:rsid w:val="00851F4A"/>
    <w:rsid w:val="0085334B"/>
    <w:rsid w:val="00853CBA"/>
    <w:rsid w:val="008556DC"/>
    <w:rsid w:val="00856206"/>
    <w:rsid w:val="00861BDA"/>
    <w:rsid w:val="00863DCE"/>
    <w:rsid w:val="0086634C"/>
    <w:rsid w:val="008677A5"/>
    <w:rsid w:val="00867B23"/>
    <w:rsid w:val="008701CF"/>
    <w:rsid w:val="00870214"/>
    <w:rsid w:val="00870256"/>
    <w:rsid w:val="008735CF"/>
    <w:rsid w:val="00876515"/>
    <w:rsid w:val="0087773F"/>
    <w:rsid w:val="00880885"/>
    <w:rsid w:val="008811D1"/>
    <w:rsid w:val="008828D9"/>
    <w:rsid w:val="00883052"/>
    <w:rsid w:val="008848B0"/>
    <w:rsid w:val="00884F24"/>
    <w:rsid w:val="00885C51"/>
    <w:rsid w:val="00885EB0"/>
    <w:rsid w:val="0089264A"/>
    <w:rsid w:val="008932D6"/>
    <w:rsid w:val="00896B85"/>
    <w:rsid w:val="00896CC1"/>
    <w:rsid w:val="00897554"/>
    <w:rsid w:val="008A22BE"/>
    <w:rsid w:val="008A28A6"/>
    <w:rsid w:val="008A2D3E"/>
    <w:rsid w:val="008A3221"/>
    <w:rsid w:val="008A3425"/>
    <w:rsid w:val="008A35FB"/>
    <w:rsid w:val="008A3D3B"/>
    <w:rsid w:val="008A3EB1"/>
    <w:rsid w:val="008A62ED"/>
    <w:rsid w:val="008B0075"/>
    <w:rsid w:val="008B1BAB"/>
    <w:rsid w:val="008B4048"/>
    <w:rsid w:val="008B43D1"/>
    <w:rsid w:val="008B5567"/>
    <w:rsid w:val="008B7223"/>
    <w:rsid w:val="008B79AB"/>
    <w:rsid w:val="008C0E7A"/>
    <w:rsid w:val="008C1B36"/>
    <w:rsid w:val="008C26CC"/>
    <w:rsid w:val="008C464F"/>
    <w:rsid w:val="008C640B"/>
    <w:rsid w:val="008D06C6"/>
    <w:rsid w:val="008D1262"/>
    <w:rsid w:val="008D3935"/>
    <w:rsid w:val="008D667E"/>
    <w:rsid w:val="008D7F08"/>
    <w:rsid w:val="008E09D5"/>
    <w:rsid w:val="008E29FD"/>
    <w:rsid w:val="008E306B"/>
    <w:rsid w:val="008E4477"/>
    <w:rsid w:val="008E6189"/>
    <w:rsid w:val="008E6250"/>
    <w:rsid w:val="008F0788"/>
    <w:rsid w:val="008F0F24"/>
    <w:rsid w:val="008F195B"/>
    <w:rsid w:val="008F2AD8"/>
    <w:rsid w:val="008F5643"/>
    <w:rsid w:val="008F69F6"/>
    <w:rsid w:val="008F72A8"/>
    <w:rsid w:val="008F7DA0"/>
    <w:rsid w:val="009015ED"/>
    <w:rsid w:val="0090199F"/>
    <w:rsid w:val="00901EF6"/>
    <w:rsid w:val="00902AF6"/>
    <w:rsid w:val="00905A29"/>
    <w:rsid w:val="00906A73"/>
    <w:rsid w:val="0091132E"/>
    <w:rsid w:val="00911902"/>
    <w:rsid w:val="00912146"/>
    <w:rsid w:val="00914030"/>
    <w:rsid w:val="00914DEE"/>
    <w:rsid w:val="00914E1E"/>
    <w:rsid w:val="00916712"/>
    <w:rsid w:val="009168CB"/>
    <w:rsid w:val="009200D5"/>
    <w:rsid w:val="00920249"/>
    <w:rsid w:val="00920CA9"/>
    <w:rsid w:val="009225AA"/>
    <w:rsid w:val="00923D85"/>
    <w:rsid w:val="009242D8"/>
    <w:rsid w:val="00924C80"/>
    <w:rsid w:val="00931592"/>
    <w:rsid w:val="00931A66"/>
    <w:rsid w:val="00931F02"/>
    <w:rsid w:val="00932C0C"/>
    <w:rsid w:val="00932F14"/>
    <w:rsid w:val="00934CFC"/>
    <w:rsid w:val="00940DC7"/>
    <w:rsid w:val="0094187F"/>
    <w:rsid w:val="0094247F"/>
    <w:rsid w:val="00942D60"/>
    <w:rsid w:val="0094413D"/>
    <w:rsid w:val="00944BA4"/>
    <w:rsid w:val="009525A3"/>
    <w:rsid w:val="00955C94"/>
    <w:rsid w:val="0095646F"/>
    <w:rsid w:val="00957015"/>
    <w:rsid w:val="009572BB"/>
    <w:rsid w:val="00960F39"/>
    <w:rsid w:val="0096523B"/>
    <w:rsid w:val="00966EE3"/>
    <w:rsid w:val="009708C0"/>
    <w:rsid w:val="00971B55"/>
    <w:rsid w:val="00972D06"/>
    <w:rsid w:val="00973C58"/>
    <w:rsid w:val="00973D6F"/>
    <w:rsid w:val="009769D3"/>
    <w:rsid w:val="00977283"/>
    <w:rsid w:val="0097765C"/>
    <w:rsid w:val="00977EB0"/>
    <w:rsid w:val="0098049F"/>
    <w:rsid w:val="00980EFC"/>
    <w:rsid w:val="00983182"/>
    <w:rsid w:val="0098534B"/>
    <w:rsid w:val="00986DB3"/>
    <w:rsid w:val="00992820"/>
    <w:rsid w:val="00995EC3"/>
    <w:rsid w:val="009967C1"/>
    <w:rsid w:val="00997077"/>
    <w:rsid w:val="00997687"/>
    <w:rsid w:val="00997711"/>
    <w:rsid w:val="009A175D"/>
    <w:rsid w:val="009A2845"/>
    <w:rsid w:val="009A391C"/>
    <w:rsid w:val="009A50F2"/>
    <w:rsid w:val="009A6331"/>
    <w:rsid w:val="009B0771"/>
    <w:rsid w:val="009B1221"/>
    <w:rsid w:val="009B187A"/>
    <w:rsid w:val="009B5727"/>
    <w:rsid w:val="009B684E"/>
    <w:rsid w:val="009C2433"/>
    <w:rsid w:val="009C25B6"/>
    <w:rsid w:val="009C4322"/>
    <w:rsid w:val="009C4F9E"/>
    <w:rsid w:val="009C734E"/>
    <w:rsid w:val="009D16EE"/>
    <w:rsid w:val="009D2F02"/>
    <w:rsid w:val="009D790B"/>
    <w:rsid w:val="009E0A61"/>
    <w:rsid w:val="009E11FF"/>
    <w:rsid w:val="009E3010"/>
    <w:rsid w:val="009E40D9"/>
    <w:rsid w:val="009F007E"/>
    <w:rsid w:val="009F16F5"/>
    <w:rsid w:val="009F1BCF"/>
    <w:rsid w:val="009F1F67"/>
    <w:rsid w:val="009F24F6"/>
    <w:rsid w:val="009F4F42"/>
    <w:rsid w:val="009F505C"/>
    <w:rsid w:val="009F7065"/>
    <w:rsid w:val="009F79A7"/>
    <w:rsid w:val="00A00A5C"/>
    <w:rsid w:val="00A04C61"/>
    <w:rsid w:val="00A06E37"/>
    <w:rsid w:val="00A1005B"/>
    <w:rsid w:val="00A128E3"/>
    <w:rsid w:val="00A12B44"/>
    <w:rsid w:val="00A13E6D"/>
    <w:rsid w:val="00A16EBC"/>
    <w:rsid w:val="00A21301"/>
    <w:rsid w:val="00A22C0B"/>
    <w:rsid w:val="00A23959"/>
    <w:rsid w:val="00A2404F"/>
    <w:rsid w:val="00A2457A"/>
    <w:rsid w:val="00A27D06"/>
    <w:rsid w:val="00A30033"/>
    <w:rsid w:val="00A304DA"/>
    <w:rsid w:val="00A30987"/>
    <w:rsid w:val="00A31427"/>
    <w:rsid w:val="00A32092"/>
    <w:rsid w:val="00A35431"/>
    <w:rsid w:val="00A361A4"/>
    <w:rsid w:val="00A36546"/>
    <w:rsid w:val="00A365A9"/>
    <w:rsid w:val="00A36851"/>
    <w:rsid w:val="00A36DDE"/>
    <w:rsid w:val="00A36F87"/>
    <w:rsid w:val="00A37CAA"/>
    <w:rsid w:val="00A40193"/>
    <w:rsid w:val="00A4175D"/>
    <w:rsid w:val="00A41853"/>
    <w:rsid w:val="00A418F0"/>
    <w:rsid w:val="00A41AC5"/>
    <w:rsid w:val="00A41B78"/>
    <w:rsid w:val="00A42A1A"/>
    <w:rsid w:val="00A44406"/>
    <w:rsid w:val="00A51E9C"/>
    <w:rsid w:val="00A5438D"/>
    <w:rsid w:val="00A54557"/>
    <w:rsid w:val="00A54934"/>
    <w:rsid w:val="00A54D81"/>
    <w:rsid w:val="00A56DC7"/>
    <w:rsid w:val="00A56E34"/>
    <w:rsid w:val="00A6215D"/>
    <w:rsid w:val="00A646B7"/>
    <w:rsid w:val="00A65849"/>
    <w:rsid w:val="00A66C2D"/>
    <w:rsid w:val="00A71838"/>
    <w:rsid w:val="00A733F4"/>
    <w:rsid w:val="00A736BE"/>
    <w:rsid w:val="00A7417C"/>
    <w:rsid w:val="00A74D68"/>
    <w:rsid w:val="00A74FD1"/>
    <w:rsid w:val="00A77500"/>
    <w:rsid w:val="00A7761B"/>
    <w:rsid w:val="00A81DC1"/>
    <w:rsid w:val="00A82D7D"/>
    <w:rsid w:val="00A84A58"/>
    <w:rsid w:val="00A85396"/>
    <w:rsid w:val="00A86030"/>
    <w:rsid w:val="00A87E84"/>
    <w:rsid w:val="00A9041F"/>
    <w:rsid w:val="00A904CD"/>
    <w:rsid w:val="00A9083D"/>
    <w:rsid w:val="00A91DF1"/>
    <w:rsid w:val="00A9439C"/>
    <w:rsid w:val="00A961F6"/>
    <w:rsid w:val="00A96534"/>
    <w:rsid w:val="00A976BC"/>
    <w:rsid w:val="00AA3759"/>
    <w:rsid w:val="00AA5002"/>
    <w:rsid w:val="00AB0275"/>
    <w:rsid w:val="00AB15BD"/>
    <w:rsid w:val="00AB276B"/>
    <w:rsid w:val="00AB2EC2"/>
    <w:rsid w:val="00AB3B63"/>
    <w:rsid w:val="00AB42BA"/>
    <w:rsid w:val="00AB53FE"/>
    <w:rsid w:val="00AB5F73"/>
    <w:rsid w:val="00AB65CE"/>
    <w:rsid w:val="00AC1462"/>
    <w:rsid w:val="00AC43FE"/>
    <w:rsid w:val="00AC6304"/>
    <w:rsid w:val="00AC74CB"/>
    <w:rsid w:val="00AC77EC"/>
    <w:rsid w:val="00AD22F9"/>
    <w:rsid w:val="00AD2A00"/>
    <w:rsid w:val="00AD4D71"/>
    <w:rsid w:val="00AD503A"/>
    <w:rsid w:val="00AD7A3D"/>
    <w:rsid w:val="00AE19E3"/>
    <w:rsid w:val="00AE2A32"/>
    <w:rsid w:val="00AE3429"/>
    <w:rsid w:val="00AE3883"/>
    <w:rsid w:val="00AE45CB"/>
    <w:rsid w:val="00AE4E6E"/>
    <w:rsid w:val="00AE580F"/>
    <w:rsid w:val="00AE766D"/>
    <w:rsid w:val="00AF06FC"/>
    <w:rsid w:val="00AF2C47"/>
    <w:rsid w:val="00AF30B7"/>
    <w:rsid w:val="00AF3391"/>
    <w:rsid w:val="00AF387F"/>
    <w:rsid w:val="00AF3BCC"/>
    <w:rsid w:val="00AF3DB8"/>
    <w:rsid w:val="00AF47D5"/>
    <w:rsid w:val="00AF50B4"/>
    <w:rsid w:val="00AF602C"/>
    <w:rsid w:val="00AF620E"/>
    <w:rsid w:val="00B00431"/>
    <w:rsid w:val="00B00E7F"/>
    <w:rsid w:val="00B017AD"/>
    <w:rsid w:val="00B03E14"/>
    <w:rsid w:val="00B10726"/>
    <w:rsid w:val="00B10EED"/>
    <w:rsid w:val="00B12091"/>
    <w:rsid w:val="00B125AC"/>
    <w:rsid w:val="00B134A5"/>
    <w:rsid w:val="00B1415F"/>
    <w:rsid w:val="00B14FE6"/>
    <w:rsid w:val="00B173DA"/>
    <w:rsid w:val="00B17A72"/>
    <w:rsid w:val="00B20594"/>
    <w:rsid w:val="00B213F3"/>
    <w:rsid w:val="00B21BFB"/>
    <w:rsid w:val="00B21DCC"/>
    <w:rsid w:val="00B221A1"/>
    <w:rsid w:val="00B2311D"/>
    <w:rsid w:val="00B25F37"/>
    <w:rsid w:val="00B26288"/>
    <w:rsid w:val="00B30E22"/>
    <w:rsid w:val="00B31883"/>
    <w:rsid w:val="00B31DDB"/>
    <w:rsid w:val="00B3367B"/>
    <w:rsid w:val="00B34AD5"/>
    <w:rsid w:val="00B37D61"/>
    <w:rsid w:val="00B402AA"/>
    <w:rsid w:val="00B41BB3"/>
    <w:rsid w:val="00B44422"/>
    <w:rsid w:val="00B45CAE"/>
    <w:rsid w:val="00B46EA0"/>
    <w:rsid w:val="00B510E5"/>
    <w:rsid w:val="00B51E03"/>
    <w:rsid w:val="00B53DF6"/>
    <w:rsid w:val="00B57A39"/>
    <w:rsid w:val="00B60828"/>
    <w:rsid w:val="00B60B2C"/>
    <w:rsid w:val="00B636F7"/>
    <w:rsid w:val="00B64C24"/>
    <w:rsid w:val="00B65710"/>
    <w:rsid w:val="00B66762"/>
    <w:rsid w:val="00B7069E"/>
    <w:rsid w:val="00B718CA"/>
    <w:rsid w:val="00B7192B"/>
    <w:rsid w:val="00B71F51"/>
    <w:rsid w:val="00B731D3"/>
    <w:rsid w:val="00B73672"/>
    <w:rsid w:val="00B74117"/>
    <w:rsid w:val="00B76483"/>
    <w:rsid w:val="00B77032"/>
    <w:rsid w:val="00B8071A"/>
    <w:rsid w:val="00B80D83"/>
    <w:rsid w:val="00B835F5"/>
    <w:rsid w:val="00B839A3"/>
    <w:rsid w:val="00B83E0C"/>
    <w:rsid w:val="00B84E32"/>
    <w:rsid w:val="00B853D2"/>
    <w:rsid w:val="00B86731"/>
    <w:rsid w:val="00B87F32"/>
    <w:rsid w:val="00B902BD"/>
    <w:rsid w:val="00B903E0"/>
    <w:rsid w:val="00B90694"/>
    <w:rsid w:val="00B93708"/>
    <w:rsid w:val="00B95496"/>
    <w:rsid w:val="00B9694C"/>
    <w:rsid w:val="00BA107A"/>
    <w:rsid w:val="00BA1864"/>
    <w:rsid w:val="00BA24E2"/>
    <w:rsid w:val="00BA3648"/>
    <w:rsid w:val="00BB205D"/>
    <w:rsid w:val="00BB28CF"/>
    <w:rsid w:val="00BB32F9"/>
    <w:rsid w:val="00BB332F"/>
    <w:rsid w:val="00BB3B9D"/>
    <w:rsid w:val="00BB5930"/>
    <w:rsid w:val="00BB79D0"/>
    <w:rsid w:val="00BC03A2"/>
    <w:rsid w:val="00BC163E"/>
    <w:rsid w:val="00BC18F4"/>
    <w:rsid w:val="00BC5C9D"/>
    <w:rsid w:val="00BC7FA2"/>
    <w:rsid w:val="00BC7FEA"/>
    <w:rsid w:val="00BD2A39"/>
    <w:rsid w:val="00BD2E80"/>
    <w:rsid w:val="00BD575E"/>
    <w:rsid w:val="00BE11B8"/>
    <w:rsid w:val="00BE1B07"/>
    <w:rsid w:val="00BE2D48"/>
    <w:rsid w:val="00BE3818"/>
    <w:rsid w:val="00BE57E1"/>
    <w:rsid w:val="00BE604C"/>
    <w:rsid w:val="00BE68F5"/>
    <w:rsid w:val="00BE7D4D"/>
    <w:rsid w:val="00BF05EB"/>
    <w:rsid w:val="00BF0F42"/>
    <w:rsid w:val="00BF2CDF"/>
    <w:rsid w:val="00BF446A"/>
    <w:rsid w:val="00BF60A7"/>
    <w:rsid w:val="00BF7B20"/>
    <w:rsid w:val="00BF7C76"/>
    <w:rsid w:val="00BF7FF0"/>
    <w:rsid w:val="00C01B97"/>
    <w:rsid w:val="00C064CA"/>
    <w:rsid w:val="00C07B36"/>
    <w:rsid w:val="00C07FF8"/>
    <w:rsid w:val="00C12502"/>
    <w:rsid w:val="00C1266C"/>
    <w:rsid w:val="00C12E2C"/>
    <w:rsid w:val="00C14FD2"/>
    <w:rsid w:val="00C1689F"/>
    <w:rsid w:val="00C203C9"/>
    <w:rsid w:val="00C20606"/>
    <w:rsid w:val="00C223EF"/>
    <w:rsid w:val="00C22877"/>
    <w:rsid w:val="00C22BEA"/>
    <w:rsid w:val="00C34A8A"/>
    <w:rsid w:val="00C36578"/>
    <w:rsid w:val="00C40AA5"/>
    <w:rsid w:val="00C41D3D"/>
    <w:rsid w:val="00C43892"/>
    <w:rsid w:val="00C439D2"/>
    <w:rsid w:val="00C43C3D"/>
    <w:rsid w:val="00C46038"/>
    <w:rsid w:val="00C46F70"/>
    <w:rsid w:val="00C476D0"/>
    <w:rsid w:val="00C50889"/>
    <w:rsid w:val="00C51314"/>
    <w:rsid w:val="00C53FAD"/>
    <w:rsid w:val="00C55182"/>
    <w:rsid w:val="00C56F71"/>
    <w:rsid w:val="00C603B6"/>
    <w:rsid w:val="00C62613"/>
    <w:rsid w:val="00C63580"/>
    <w:rsid w:val="00C643EC"/>
    <w:rsid w:val="00C648C8"/>
    <w:rsid w:val="00C65692"/>
    <w:rsid w:val="00C703EC"/>
    <w:rsid w:val="00C70A4C"/>
    <w:rsid w:val="00C71988"/>
    <w:rsid w:val="00C72B70"/>
    <w:rsid w:val="00C74993"/>
    <w:rsid w:val="00C75F81"/>
    <w:rsid w:val="00C771A6"/>
    <w:rsid w:val="00C77245"/>
    <w:rsid w:val="00C77D99"/>
    <w:rsid w:val="00C808E0"/>
    <w:rsid w:val="00C81835"/>
    <w:rsid w:val="00C827B6"/>
    <w:rsid w:val="00C836E3"/>
    <w:rsid w:val="00C84D73"/>
    <w:rsid w:val="00C86577"/>
    <w:rsid w:val="00C86FA2"/>
    <w:rsid w:val="00C87216"/>
    <w:rsid w:val="00C87739"/>
    <w:rsid w:val="00C92E07"/>
    <w:rsid w:val="00C94942"/>
    <w:rsid w:val="00C95A55"/>
    <w:rsid w:val="00C96868"/>
    <w:rsid w:val="00C96A50"/>
    <w:rsid w:val="00CA0416"/>
    <w:rsid w:val="00CA1FE4"/>
    <w:rsid w:val="00CA2CFE"/>
    <w:rsid w:val="00CA3C65"/>
    <w:rsid w:val="00CA55A0"/>
    <w:rsid w:val="00CA55E4"/>
    <w:rsid w:val="00CA7F35"/>
    <w:rsid w:val="00CB1375"/>
    <w:rsid w:val="00CB2191"/>
    <w:rsid w:val="00CB23D5"/>
    <w:rsid w:val="00CB2C9E"/>
    <w:rsid w:val="00CB7067"/>
    <w:rsid w:val="00CC154D"/>
    <w:rsid w:val="00CC2192"/>
    <w:rsid w:val="00CC2D67"/>
    <w:rsid w:val="00CC36E7"/>
    <w:rsid w:val="00CC3C61"/>
    <w:rsid w:val="00CC560B"/>
    <w:rsid w:val="00CC61D1"/>
    <w:rsid w:val="00CC75E2"/>
    <w:rsid w:val="00CD084F"/>
    <w:rsid w:val="00CD0BE8"/>
    <w:rsid w:val="00CD279D"/>
    <w:rsid w:val="00CD46EB"/>
    <w:rsid w:val="00CD5E19"/>
    <w:rsid w:val="00CD6F8A"/>
    <w:rsid w:val="00CD7A1C"/>
    <w:rsid w:val="00CD7E65"/>
    <w:rsid w:val="00CD7EBF"/>
    <w:rsid w:val="00CD7F2E"/>
    <w:rsid w:val="00CE0AEB"/>
    <w:rsid w:val="00CE0C63"/>
    <w:rsid w:val="00CE170B"/>
    <w:rsid w:val="00CE1E18"/>
    <w:rsid w:val="00CE1E77"/>
    <w:rsid w:val="00CE25C8"/>
    <w:rsid w:val="00CE2CD6"/>
    <w:rsid w:val="00CE3797"/>
    <w:rsid w:val="00CF156E"/>
    <w:rsid w:val="00CF38C5"/>
    <w:rsid w:val="00CF3D0A"/>
    <w:rsid w:val="00CF3FA1"/>
    <w:rsid w:val="00CF4050"/>
    <w:rsid w:val="00CF55C8"/>
    <w:rsid w:val="00CF5C09"/>
    <w:rsid w:val="00D039F0"/>
    <w:rsid w:val="00D04529"/>
    <w:rsid w:val="00D04607"/>
    <w:rsid w:val="00D054AC"/>
    <w:rsid w:val="00D056F1"/>
    <w:rsid w:val="00D062E4"/>
    <w:rsid w:val="00D075FA"/>
    <w:rsid w:val="00D11171"/>
    <w:rsid w:val="00D14082"/>
    <w:rsid w:val="00D14405"/>
    <w:rsid w:val="00D17E05"/>
    <w:rsid w:val="00D2071E"/>
    <w:rsid w:val="00D209C9"/>
    <w:rsid w:val="00D21AE8"/>
    <w:rsid w:val="00D22F3C"/>
    <w:rsid w:val="00D23DB6"/>
    <w:rsid w:val="00D26814"/>
    <w:rsid w:val="00D27356"/>
    <w:rsid w:val="00D276E7"/>
    <w:rsid w:val="00D3171B"/>
    <w:rsid w:val="00D31CA5"/>
    <w:rsid w:val="00D33F56"/>
    <w:rsid w:val="00D3411E"/>
    <w:rsid w:val="00D354AB"/>
    <w:rsid w:val="00D372F1"/>
    <w:rsid w:val="00D4155A"/>
    <w:rsid w:val="00D416D3"/>
    <w:rsid w:val="00D41B5E"/>
    <w:rsid w:val="00D43FE6"/>
    <w:rsid w:val="00D44EE8"/>
    <w:rsid w:val="00D460B6"/>
    <w:rsid w:val="00D506E0"/>
    <w:rsid w:val="00D51A95"/>
    <w:rsid w:val="00D5539D"/>
    <w:rsid w:val="00D566ED"/>
    <w:rsid w:val="00D56FC1"/>
    <w:rsid w:val="00D57083"/>
    <w:rsid w:val="00D60568"/>
    <w:rsid w:val="00D6183B"/>
    <w:rsid w:val="00D6367F"/>
    <w:rsid w:val="00D66679"/>
    <w:rsid w:val="00D675E4"/>
    <w:rsid w:val="00D676CF"/>
    <w:rsid w:val="00D70C7A"/>
    <w:rsid w:val="00D71519"/>
    <w:rsid w:val="00D72DE6"/>
    <w:rsid w:val="00D73931"/>
    <w:rsid w:val="00D75953"/>
    <w:rsid w:val="00D7691C"/>
    <w:rsid w:val="00D81D38"/>
    <w:rsid w:val="00D820E4"/>
    <w:rsid w:val="00D830D4"/>
    <w:rsid w:val="00D8404A"/>
    <w:rsid w:val="00D8470F"/>
    <w:rsid w:val="00D8471A"/>
    <w:rsid w:val="00D857FB"/>
    <w:rsid w:val="00D859B5"/>
    <w:rsid w:val="00D86344"/>
    <w:rsid w:val="00D86FB8"/>
    <w:rsid w:val="00D8770F"/>
    <w:rsid w:val="00D902CA"/>
    <w:rsid w:val="00D9083F"/>
    <w:rsid w:val="00D908F0"/>
    <w:rsid w:val="00D91480"/>
    <w:rsid w:val="00D934A6"/>
    <w:rsid w:val="00D934C2"/>
    <w:rsid w:val="00D95D58"/>
    <w:rsid w:val="00D9748E"/>
    <w:rsid w:val="00DA10A8"/>
    <w:rsid w:val="00DA16FB"/>
    <w:rsid w:val="00DA185F"/>
    <w:rsid w:val="00DA2A95"/>
    <w:rsid w:val="00DA2C3E"/>
    <w:rsid w:val="00DA515C"/>
    <w:rsid w:val="00DB1B78"/>
    <w:rsid w:val="00DB1E08"/>
    <w:rsid w:val="00DB2973"/>
    <w:rsid w:val="00DB324A"/>
    <w:rsid w:val="00DB394C"/>
    <w:rsid w:val="00DB5D4B"/>
    <w:rsid w:val="00DB6112"/>
    <w:rsid w:val="00DB71C9"/>
    <w:rsid w:val="00DB7A08"/>
    <w:rsid w:val="00DC1ACC"/>
    <w:rsid w:val="00DC1B56"/>
    <w:rsid w:val="00DC2129"/>
    <w:rsid w:val="00DC2A92"/>
    <w:rsid w:val="00DC2FE4"/>
    <w:rsid w:val="00DC3C72"/>
    <w:rsid w:val="00DC6570"/>
    <w:rsid w:val="00DC6703"/>
    <w:rsid w:val="00DC733C"/>
    <w:rsid w:val="00DD0307"/>
    <w:rsid w:val="00DD05E4"/>
    <w:rsid w:val="00DD087E"/>
    <w:rsid w:val="00DD2952"/>
    <w:rsid w:val="00DD3C43"/>
    <w:rsid w:val="00DD3C5E"/>
    <w:rsid w:val="00DD3F3F"/>
    <w:rsid w:val="00DD6AF4"/>
    <w:rsid w:val="00DE2315"/>
    <w:rsid w:val="00DE40E0"/>
    <w:rsid w:val="00DE79D9"/>
    <w:rsid w:val="00DF19EB"/>
    <w:rsid w:val="00DF25C3"/>
    <w:rsid w:val="00DF2A59"/>
    <w:rsid w:val="00DF38F3"/>
    <w:rsid w:val="00DF3DA2"/>
    <w:rsid w:val="00DF69A3"/>
    <w:rsid w:val="00E0280C"/>
    <w:rsid w:val="00E04062"/>
    <w:rsid w:val="00E05AB8"/>
    <w:rsid w:val="00E063C6"/>
    <w:rsid w:val="00E06888"/>
    <w:rsid w:val="00E069B9"/>
    <w:rsid w:val="00E07DE1"/>
    <w:rsid w:val="00E109BD"/>
    <w:rsid w:val="00E128E0"/>
    <w:rsid w:val="00E154A0"/>
    <w:rsid w:val="00E17674"/>
    <w:rsid w:val="00E2003B"/>
    <w:rsid w:val="00E20213"/>
    <w:rsid w:val="00E203C2"/>
    <w:rsid w:val="00E2090A"/>
    <w:rsid w:val="00E20F0F"/>
    <w:rsid w:val="00E2149E"/>
    <w:rsid w:val="00E23FC3"/>
    <w:rsid w:val="00E24DE8"/>
    <w:rsid w:val="00E279D8"/>
    <w:rsid w:val="00E30872"/>
    <w:rsid w:val="00E31429"/>
    <w:rsid w:val="00E319B1"/>
    <w:rsid w:val="00E35BEE"/>
    <w:rsid w:val="00E35BFB"/>
    <w:rsid w:val="00E3662B"/>
    <w:rsid w:val="00E37FC1"/>
    <w:rsid w:val="00E40ED4"/>
    <w:rsid w:val="00E40F78"/>
    <w:rsid w:val="00E41DE3"/>
    <w:rsid w:val="00E420E3"/>
    <w:rsid w:val="00E445B8"/>
    <w:rsid w:val="00E44E0D"/>
    <w:rsid w:val="00E46DEF"/>
    <w:rsid w:val="00E4793B"/>
    <w:rsid w:val="00E4798F"/>
    <w:rsid w:val="00E47AE1"/>
    <w:rsid w:val="00E508EA"/>
    <w:rsid w:val="00E515FD"/>
    <w:rsid w:val="00E520FE"/>
    <w:rsid w:val="00E5338E"/>
    <w:rsid w:val="00E533CF"/>
    <w:rsid w:val="00E54219"/>
    <w:rsid w:val="00E5492F"/>
    <w:rsid w:val="00E55282"/>
    <w:rsid w:val="00E56763"/>
    <w:rsid w:val="00E567E2"/>
    <w:rsid w:val="00E573FA"/>
    <w:rsid w:val="00E62DEF"/>
    <w:rsid w:val="00E64BC7"/>
    <w:rsid w:val="00E65A12"/>
    <w:rsid w:val="00E7053A"/>
    <w:rsid w:val="00E70A86"/>
    <w:rsid w:val="00E72650"/>
    <w:rsid w:val="00E73A95"/>
    <w:rsid w:val="00E74061"/>
    <w:rsid w:val="00E75054"/>
    <w:rsid w:val="00E751D6"/>
    <w:rsid w:val="00E75931"/>
    <w:rsid w:val="00E75FC5"/>
    <w:rsid w:val="00E777EC"/>
    <w:rsid w:val="00E80EAF"/>
    <w:rsid w:val="00E80FCD"/>
    <w:rsid w:val="00E818ED"/>
    <w:rsid w:val="00E81F6E"/>
    <w:rsid w:val="00E82742"/>
    <w:rsid w:val="00E86C66"/>
    <w:rsid w:val="00E86EDF"/>
    <w:rsid w:val="00E91801"/>
    <w:rsid w:val="00E9314F"/>
    <w:rsid w:val="00EA1E29"/>
    <w:rsid w:val="00EA2F75"/>
    <w:rsid w:val="00EA334D"/>
    <w:rsid w:val="00EA6597"/>
    <w:rsid w:val="00EA683E"/>
    <w:rsid w:val="00EA7D99"/>
    <w:rsid w:val="00EA7F2F"/>
    <w:rsid w:val="00EB0B13"/>
    <w:rsid w:val="00EB1805"/>
    <w:rsid w:val="00EB3D28"/>
    <w:rsid w:val="00EB5177"/>
    <w:rsid w:val="00EC00DE"/>
    <w:rsid w:val="00EC0367"/>
    <w:rsid w:val="00EC30E1"/>
    <w:rsid w:val="00EC6C6E"/>
    <w:rsid w:val="00EC7AD1"/>
    <w:rsid w:val="00ED1468"/>
    <w:rsid w:val="00ED172A"/>
    <w:rsid w:val="00ED2BEE"/>
    <w:rsid w:val="00EE05E6"/>
    <w:rsid w:val="00EE0A23"/>
    <w:rsid w:val="00EE0C3E"/>
    <w:rsid w:val="00EE15F3"/>
    <w:rsid w:val="00EE23AD"/>
    <w:rsid w:val="00EE6137"/>
    <w:rsid w:val="00EE7167"/>
    <w:rsid w:val="00EF0DBA"/>
    <w:rsid w:val="00EF0FB6"/>
    <w:rsid w:val="00EF1DF7"/>
    <w:rsid w:val="00EF1FC9"/>
    <w:rsid w:val="00EF68AC"/>
    <w:rsid w:val="00EF6DCA"/>
    <w:rsid w:val="00EF6E55"/>
    <w:rsid w:val="00EF7359"/>
    <w:rsid w:val="00F00C28"/>
    <w:rsid w:val="00F03E02"/>
    <w:rsid w:val="00F05177"/>
    <w:rsid w:val="00F0750B"/>
    <w:rsid w:val="00F11155"/>
    <w:rsid w:val="00F11250"/>
    <w:rsid w:val="00F1161C"/>
    <w:rsid w:val="00F135ED"/>
    <w:rsid w:val="00F13F6D"/>
    <w:rsid w:val="00F14BEC"/>
    <w:rsid w:val="00F16122"/>
    <w:rsid w:val="00F225C5"/>
    <w:rsid w:val="00F246AD"/>
    <w:rsid w:val="00F2520D"/>
    <w:rsid w:val="00F2587A"/>
    <w:rsid w:val="00F27710"/>
    <w:rsid w:val="00F300F5"/>
    <w:rsid w:val="00F31022"/>
    <w:rsid w:val="00F33BB8"/>
    <w:rsid w:val="00F35A23"/>
    <w:rsid w:val="00F363BC"/>
    <w:rsid w:val="00F367E7"/>
    <w:rsid w:val="00F3715D"/>
    <w:rsid w:val="00F40256"/>
    <w:rsid w:val="00F40786"/>
    <w:rsid w:val="00F408EF"/>
    <w:rsid w:val="00F41ABB"/>
    <w:rsid w:val="00F420C8"/>
    <w:rsid w:val="00F42126"/>
    <w:rsid w:val="00F42937"/>
    <w:rsid w:val="00F42A4C"/>
    <w:rsid w:val="00F43A3D"/>
    <w:rsid w:val="00F43D10"/>
    <w:rsid w:val="00F44B71"/>
    <w:rsid w:val="00F45109"/>
    <w:rsid w:val="00F52A15"/>
    <w:rsid w:val="00F530CE"/>
    <w:rsid w:val="00F53449"/>
    <w:rsid w:val="00F53B04"/>
    <w:rsid w:val="00F54F0A"/>
    <w:rsid w:val="00F56126"/>
    <w:rsid w:val="00F57A25"/>
    <w:rsid w:val="00F604DE"/>
    <w:rsid w:val="00F6100F"/>
    <w:rsid w:val="00F611F5"/>
    <w:rsid w:val="00F61BB6"/>
    <w:rsid w:val="00F621D1"/>
    <w:rsid w:val="00F63DF3"/>
    <w:rsid w:val="00F64653"/>
    <w:rsid w:val="00F71C74"/>
    <w:rsid w:val="00F73F0E"/>
    <w:rsid w:val="00F75667"/>
    <w:rsid w:val="00F82D2B"/>
    <w:rsid w:val="00F84A9E"/>
    <w:rsid w:val="00F86295"/>
    <w:rsid w:val="00F95AEA"/>
    <w:rsid w:val="00FA4CD6"/>
    <w:rsid w:val="00FA4CF4"/>
    <w:rsid w:val="00FA61DC"/>
    <w:rsid w:val="00FA6E17"/>
    <w:rsid w:val="00FB0C8C"/>
    <w:rsid w:val="00FB11C6"/>
    <w:rsid w:val="00FB1533"/>
    <w:rsid w:val="00FB48E8"/>
    <w:rsid w:val="00FB5963"/>
    <w:rsid w:val="00FB5DDF"/>
    <w:rsid w:val="00FB67A3"/>
    <w:rsid w:val="00FB69B0"/>
    <w:rsid w:val="00FB7512"/>
    <w:rsid w:val="00FB7A03"/>
    <w:rsid w:val="00FC105A"/>
    <w:rsid w:val="00FC22E1"/>
    <w:rsid w:val="00FC252D"/>
    <w:rsid w:val="00FC3470"/>
    <w:rsid w:val="00FC35A3"/>
    <w:rsid w:val="00FC35CD"/>
    <w:rsid w:val="00FC49F9"/>
    <w:rsid w:val="00FC4C95"/>
    <w:rsid w:val="00FC7531"/>
    <w:rsid w:val="00FD2129"/>
    <w:rsid w:val="00FD2EC8"/>
    <w:rsid w:val="00FD2FBE"/>
    <w:rsid w:val="00FD342E"/>
    <w:rsid w:val="00FD5BA5"/>
    <w:rsid w:val="00FD7547"/>
    <w:rsid w:val="00FE002E"/>
    <w:rsid w:val="00FE0361"/>
    <w:rsid w:val="00FE30ED"/>
    <w:rsid w:val="00FE3C49"/>
    <w:rsid w:val="00FE4690"/>
    <w:rsid w:val="00FE5808"/>
    <w:rsid w:val="00FE6E4A"/>
    <w:rsid w:val="00FE78BC"/>
    <w:rsid w:val="00FF1C1B"/>
    <w:rsid w:val="00FF2AA7"/>
    <w:rsid w:val="00FF3034"/>
    <w:rsid w:val="00FF5F5C"/>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FBF2BA"/>
  <w15:docId w15:val="{6D117371-9EBF-4BFE-B50B-E6088E8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C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numPr>
        <w:numId w:val="18"/>
      </w:numPr>
      <w:spacing w:after="240"/>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numPr>
        <w:ilvl w:val="1"/>
        <w:numId w:val="18"/>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numPr>
        <w:ilvl w:val="2"/>
        <w:numId w:val="18"/>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numPr>
        <w:ilvl w:val="3"/>
        <w:numId w:val="18"/>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18"/>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18"/>
      </w:numPr>
      <w:spacing w:before="240" w:after="60"/>
      <w:outlineLvl w:val="6"/>
    </w:pPr>
  </w:style>
  <w:style w:type="paragraph" w:styleId="Heading8">
    <w:name w:val="heading 8"/>
    <w:basedOn w:val="Normal"/>
    <w:next w:val="Normal"/>
    <w:link w:val="Heading8Char"/>
    <w:uiPriority w:val="9"/>
    <w:unhideWhenUsed/>
    <w:rsid w:val="00B731D3"/>
    <w:pPr>
      <w:numPr>
        <w:ilvl w:val="7"/>
        <w:numId w:val="18"/>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1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link w:val="FootnoteChar"/>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1"/>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2"/>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aliases w:val="n_outline_standar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820535"/>
    <w:rPr>
      <w:rFonts w:ascii="Arial" w:hAnsi="Arial"/>
      <w:lang w:eastAsia="en-US" w:bidi="en-US"/>
    </w:rPr>
  </w:style>
  <w:style w:type="paragraph" w:customStyle="1" w:styleId="ISCbulleted">
    <w:name w:val="ISC bulleted"/>
    <w:basedOn w:val="Normal"/>
    <w:rsid w:val="00E05AB8"/>
    <w:pPr>
      <w:widowControl/>
      <w:numPr>
        <w:numId w:val="5"/>
      </w:numPr>
      <w:tabs>
        <w:tab w:val="left" w:pos="567"/>
      </w:tabs>
      <w:spacing w:after="120"/>
    </w:pPr>
    <w:rPr>
      <w:rFonts w:ascii="Times New Roman" w:hAnsi="Times New Roman"/>
      <w:sz w:val="24"/>
      <w:lang w:val="en-AU" w:eastAsia="en-AU" w:bidi="ar-SA"/>
    </w:rPr>
  </w:style>
  <w:style w:type="paragraph" w:styleId="ListParagraph">
    <w:name w:val="List Paragraph"/>
    <w:basedOn w:val="Normal"/>
    <w:uiPriority w:val="34"/>
    <w:qFormat/>
    <w:rsid w:val="005E7EEE"/>
    <w:pPr>
      <w:widowControl/>
      <w:ind w:left="720"/>
      <w:contextualSpacing/>
    </w:pPr>
    <w:rPr>
      <w:rFonts w:eastAsiaTheme="minorHAnsi" w:cstheme="minorBidi"/>
      <w:szCs w:val="22"/>
      <w:lang w:bidi="ar-SA"/>
    </w:rPr>
  </w:style>
  <w:style w:type="paragraph" w:customStyle="1" w:styleId="FSBullet">
    <w:name w:val="FS Bullet"/>
    <w:basedOn w:val="Normal"/>
    <w:next w:val="Normal"/>
    <w:link w:val="FSBulletChar"/>
    <w:qFormat/>
    <w:rsid w:val="006E01E8"/>
    <w:pPr>
      <w:ind w:left="567" w:hanging="567"/>
    </w:pPr>
    <w:rPr>
      <w:rFonts w:cs="Arial"/>
    </w:rPr>
  </w:style>
  <w:style w:type="character" w:customStyle="1" w:styleId="FSBulletChar">
    <w:name w:val="FS Bullet Char"/>
    <w:basedOn w:val="DefaultParagraphFont"/>
    <w:link w:val="FSBullet"/>
    <w:rsid w:val="006E01E8"/>
    <w:rPr>
      <w:rFonts w:ascii="Arial" w:hAnsi="Arial" w:cs="Arial"/>
      <w:sz w:val="22"/>
      <w:szCs w:val="24"/>
      <w:lang w:eastAsia="en-US" w:bidi="en-US"/>
    </w:rPr>
  </w:style>
  <w:style w:type="character" w:customStyle="1" w:styleId="FootnoteChar">
    <w:name w:val="Footnote Char"/>
    <w:basedOn w:val="DefaultParagraphFont"/>
    <w:link w:val="Footnote"/>
    <w:rsid w:val="0094187F"/>
    <w:rPr>
      <w:rFonts w:ascii="Arial" w:hAnsi="Arial"/>
      <w:sz w:val="18"/>
      <w:lang w:eastAsia="en-US" w:bidi="en-US"/>
    </w:rPr>
  </w:style>
  <w:style w:type="paragraph" w:customStyle="1" w:styleId="TableBullet">
    <w:name w:val="Table Bullet"/>
    <w:basedOn w:val="Normal"/>
    <w:uiPriority w:val="10"/>
    <w:qFormat/>
    <w:rsid w:val="005E29B7"/>
    <w:pPr>
      <w:widowControl/>
      <w:numPr>
        <w:numId w:val="14"/>
      </w:numPr>
    </w:pPr>
    <w:rPr>
      <w:rFonts w:ascii="Calibri" w:hAnsi="Calibri" w:cs="Calibri"/>
      <w:sz w:val="20"/>
      <w:szCs w:val="22"/>
      <w:lang w:val="en-AU" w:eastAsia="en-AU" w:bidi="ar-SA"/>
    </w:rPr>
  </w:style>
  <w:style w:type="paragraph" w:customStyle="1" w:styleId="TableBulletDash">
    <w:name w:val="Table Bullet Dash"/>
    <w:basedOn w:val="Normal"/>
    <w:uiPriority w:val="10"/>
    <w:rsid w:val="005E29B7"/>
    <w:pPr>
      <w:widowControl/>
      <w:numPr>
        <w:ilvl w:val="1"/>
        <w:numId w:val="14"/>
      </w:numPr>
    </w:pPr>
    <w:rPr>
      <w:rFonts w:ascii="Calibri" w:hAnsi="Calibri" w:cs="Calibri"/>
      <w:sz w:val="20"/>
      <w:szCs w:val="22"/>
      <w:lang w:val="en-AU" w:eastAsia="en-AU" w:bidi="ar-SA"/>
    </w:rPr>
  </w:style>
  <w:style w:type="paragraph" w:styleId="NormalWeb">
    <w:name w:val="Normal (Web)"/>
    <w:basedOn w:val="Normal"/>
    <w:uiPriority w:val="99"/>
    <w:rsid w:val="00A66C2D"/>
    <w:pPr>
      <w:widowControl/>
      <w:spacing w:before="100" w:beforeAutospacing="1" w:after="100" w:afterAutospacing="1"/>
    </w:pPr>
    <w:rPr>
      <w:rFonts w:eastAsia="SimSun"/>
      <w:sz w:val="24"/>
      <w:lang w:val="en-US" w:eastAsia="zh-CN" w:bidi="ar-SA"/>
    </w:rPr>
  </w:style>
  <w:style w:type="paragraph" w:customStyle="1" w:styleId="AARBullet">
    <w:name w:val="AAR Bullet"/>
    <w:basedOn w:val="ListParagraph"/>
    <w:uiPriority w:val="99"/>
    <w:qFormat/>
    <w:rsid w:val="00A2457A"/>
    <w:pPr>
      <w:keepLines/>
      <w:numPr>
        <w:numId w:val="20"/>
      </w:numPr>
      <w:spacing w:before="120" w:after="120"/>
      <w:ind w:left="714" w:hanging="357"/>
    </w:pPr>
  </w:style>
  <w:style w:type="paragraph" w:styleId="Title">
    <w:name w:val="Title"/>
    <w:basedOn w:val="Normal"/>
    <w:link w:val="TitleChar"/>
    <w:qFormat/>
    <w:rsid w:val="005417E5"/>
    <w:pPr>
      <w:widowControl/>
      <w:jc w:val="center"/>
    </w:pPr>
    <w:rPr>
      <w:rFonts w:ascii="Times New Roman" w:hAnsi="Times New Roman"/>
      <w:b/>
      <w:sz w:val="24"/>
      <w:szCs w:val="20"/>
      <w:lang w:val="en-AU" w:bidi="ar-SA"/>
    </w:rPr>
  </w:style>
  <w:style w:type="character" w:customStyle="1" w:styleId="TitleChar">
    <w:name w:val="Title Char"/>
    <w:basedOn w:val="DefaultParagraphFont"/>
    <w:link w:val="Title"/>
    <w:rsid w:val="005417E5"/>
    <w:rPr>
      <w:rFonts w:ascii="Times New Roman" w:hAnsi="Times New Roman"/>
      <w:b/>
      <w:sz w:val="24"/>
      <w:lang w:val="en-AU" w:eastAsia="en-US"/>
    </w:rPr>
  </w:style>
  <w:style w:type="table" w:styleId="GridTable2-Accent3">
    <w:name w:val="Grid Table 2 Accent 3"/>
    <w:basedOn w:val="TableNormal"/>
    <w:uiPriority w:val="47"/>
    <w:rsid w:val="002054E7"/>
    <w:rPr>
      <w:rFonts w:ascii="Arial" w:eastAsiaTheme="minorHAnsi" w:hAnsi="Arial" w:cs="Arial"/>
      <w:sz w:val="22"/>
      <w:szCs w:val="22"/>
      <w:lang w:val="en-AU"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2054E7"/>
    <w:pPr>
      <w:spacing w:after="200"/>
    </w:pPr>
    <w:rPr>
      <w:i/>
      <w:iCs/>
      <w:color w:val="1F497D" w:themeColor="text2"/>
      <w:sz w:val="18"/>
      <w:szCs w:val="18"/>
    </w:rPr>
  </w:style>
  <w:style w:type="paragraph" w:customStyle="1" w:styleId="FooterFPHFF-7012022-13304PM">
    <w:name w:val="FooterFPHFF-7012022-13304 PM"/>
    <w:rsid w:val="00135852"/>
    <w:pPr>
      <w:widowControl w:val="0"/>
    </w:pPr>
    <w:rPr>
      <w:rFonts w:ascii="Arial" w:hAnsi="Arial"/>
      <w:sz w:val="22"/>
      <w:szCs w:val="24"/>
      <w:lang w:eastAsia="en-US" w:bidi="en-US"/>
    </w:rPr>
  </w:style>
  <w:style w:type="paragraph" w:customStyle="1" w:styleId="FSCh2Amendmentheading">
    <w:name w:val="FSC_h2_Amendment_heading"/>
    <w:basedOn w:val="Normal"/>
    <w:qFormat/>
    <w:rsid w:val="007E7B67"/>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7E7B67"/>
    <w:pPr>
      <w:keepLines/>
      <w:widowControl/>
      <w:spacing w:before="120"/>
      <w:ind w:left="1134"/>
    </w:pPr>
    <w:rPr>
      <w:rFonts w:cs="Arial"/>
      <w:iCs/>
      <w:sz w:val="24"/>
      <w:szCs w:val="22"/>
      <w:lang w:val="en-AU" w:eastAsia="en-AU" w:bidi="ar-SA"/>
    </w:rPr>
  </w:style>
  <w:style w:type="table" w:styleId="TableGridLight">
    <w:name w:val="Grid Table Light"/>
    <w:basedOn w:val="TableNormal"/>
    <w:uiPriority w:val="40"/>
    <w:rsid w:val="00C439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439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FC49F9"/>
  </w:style>
  <w:style w:type="character" w:customStyle="1" w:styleId="superscript">
    <w:name w:val="superscript"/>
    <w:basedOn w:val="DefaultParagraphFont"/>
    <w:rsid w:val="00FC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099">
      <w:bodyDiv w:val="1"/>
      <w:marLeft w:val="0"/>
      <w:marRight w:val="0"/>
      <w:marTop w:val="0"/>
      <w:marBottom w:val="0"/>
      <w:divBdr>
        <w:top w:val="none" w:sz="0" w:space="0" w:color="auto"/>
        <w:left w:val="none" w:sz="0" w:space="0" w:color="auto"/>
        <w:bottom w:val="none" w:sz="0" w:space="0" w:color="auto"/>
        <w:right w:val="none" w:sz="0" w:space="0" w:color="auto"/>
      </w:divBdr>
    </w:div>
    <w:div w:id="63993791">
      <w:bodyDiv w:val="1"/>
      <w:marLeft w:val="0"/>
      <w:marRight w:val="0"/>
      <w:marTop w:val="0"/>
      <w:marBottom w:val="0"/>
      <w:divBdr>
        <w:top w:val="none" w:sz="0" w:space="0" w:color="auto"/>
        <w:left w:val="none" w:sz="0" w:space="0" w:color="auto"/>
        <w:bottom w:val="none" w:sz="0" w:space="0" w:color="auto"/>
        <w:right w:val="none" w:sz="0" w:space="0" w:color="auto"/>
      </w:divBdr>
    </w:div>
    <w:div w:id="68120025">
      <w:bodyDiv w:val="1"/>
      <w:marLeft w:val="0"/>
      <w:marRight w:val="0"/>
      <w:marTop w:val="0"/>
      <w:marBottom w:val="0"/>
      <w:divBdr>
        <w:top w:val="none" w:sz="0" w:space="0" w:color="auto"/>
        <w:left w:val="none" w:sz="0" w:space="0" w:color="auto"/>
        <w:bottom w:val="none" w:sz="0" w:space="0" w:color="auto"/>
        <w:right w:val="none" w:sz="0" w:space="0" w:color="auto"/>
      </w:divBdr>
    </w:div>
    <w:div w:id="80181051">
      <w:bodyDiv w:val="1"/>
      <w:marLeft w:val="0"/>
      <w:marRight w:val="0"/>
      <w:marTop w:val="0"/>
      <w:marBottom w:val="0"/>
      <w:divBdr>
        <w:top w:val="none" w:sz="0" w:space="0" w:color="auto"/>
        <w:left w:val="none" w:sz="0" w:space="0" w:color="auto"/>
        <w:bottom w:val="none" w:sz="0" w:space="0" w:color="auto"/>
        <w:right w:val="none" w:sz="0" w:space="0" w:color="auto"/>
      </w:divBdr>
    </w:div>
    <w:div w:id="121969402">
      <w:bodyDiv w:val="1"/>
      <w:marLeft w:val="0"/>
      <w:marRight w:val="0"/>
      <w:marTop w:val="0"/>
      <w:marBottom w:val="0"/>
      <w:divBdr>
        <w:top w:val="none" w:sz="0" w:space="0" w:color="auto"/>
        <w:left w:val="none" w:sz="0" w:space="0" w:color="auto"/>
        <w:bottom w:val="none" w:sz="0" w:space="0" w:color="auto"/>
        <w:right w:val="none" w:sz="0" w:space="0" w:color="auto"/>
      </w:divBdr>
    </w:div>
    <w:div w:id="142428086">
      <w:bodyDiv w:val="1"/>
      <w:marLeft w:val="0"/>
      <w:marRight w:val="0"/>
      <w:marTop w:val="0"/>
      <w:marBottom w:val="0"/>
      <w:divBdr>
        <w:top w:val="none" w:sz="0" w:space="0" w:color="auto"/>
        <w:left w:val="none" w:sz="0" w:space="0" w:color="auto"/>
        <w:bottom w:val="none" w:sz="0" w:space="0" w:color="auto"/>
        <w:right w:val="none" w:sz="0" w:space="0" w:color="auto"/>
      </w:divBdr>
    </w:div>
    <w:div w:id="166485888">
      <w:bodyDiv w:val="1"/>
      <w:marLeft w:val="0"/>
      <w:marRight w:val="0"/>
      <w:marTop w:val="0"/>
      <w:marBottom w:val="0"/>
      <w:divBdr>
        <w:top w:val="none" w:sz="0" w:space="0" w:color="auto"/>
        <w:left w:val="none" w:sz="0" w:space="0" w:color="auto"/>
        <w:bottom w:val="none" w:sz="0" w:space="0" w:color="auto"/>
        <w:right w:val="none" w:sz="0" w:space="0" w:color="auto"/>
      </w:divBdr>
    </w:div>
    <w:div w:id="240986659">
      <w:bodyDiv w:val="1"/>
      <w:marLeft w:val="0"/>
      <w:marRight w:val="0"/>
      <w:marTop w:val="0"/>
      <w:marBottom w:val="0"/>
      <w:divBdr>
        <w:top w:val="none" w:sz="0" w:space="0" w:color="auto"/>
        <w:left w:val="none" w:sz="0" w:space="0" w:color="auto"/>
        <w:bottom w:val="none" w:sz="0" w:space="0" w:color="auto"/>
        <w:right w:val="none" w:sz="0" w:space="0" w:color="auto"/>
      </w:divBdr>
    </w:div>
    <w:div w:id="295835707">
      <w:bodyDiv w:val="1"/>
      <w:marLeft w:val="0"/>
      <w:marRight w:val="0"/>
      <w:marTop w:val="0"/>
      <w:marBottom w:val="0"/>
      <w:divBdr>
        <w:top w:val="none" w:sz="0" w:space="0" w:color="auto"/>
        <w:left w:val="none" w:sz="0" w:space="0" w:color="auto"/>
        <w:bottom w:val="none" w:sz="0" w:space="0" w:color="auto"/>
        <w:right w:val="none" w:sz="0" w:space="0" w:color="auto"/>
      </w:divBdr>
    </w:div>
    <w:div w:id="37134605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05807994">
      <w:bodyDiv w:val="1"/>
      <w:marLeft w:val="0"/>
      <w:marRight w:val="0"/>
      <w:marTop w:val="0"/>
      <w:marBottom w:val="0"/>
      <w:divBdr>
        <w:top w:val="none" w:sz="0" w:space="0" w:color="auto"/>
        <w:left w:val="none" w:sz="0" w:space="0" w:color="auto"/>
        <w:bottom w:val="none" w:sz="0" w:space="0" w:color="auto"/>
        <w:right w:val="none" w:sz="0" w:space="0" w:color="auto"/>
      </w:divBdr>
    </w:div>
    <w:div w:id="434331601">
      <w:bodyDiv w:val="1"/>
      <w:marLeft w:val="0"/>
      <w:marRight w:val="0"/>
      <w:marTop w:val="0"/>
      <w:marBottom w:val="0"/>
      <w:divBdr>
        <w:top w:val="none" w:sz="0" w:space="0" w:color="auto"/>
        <w:left w:val="none" w:sz="0" w:space="0" w:color="auto"/>
        <w:bottom w:val="none" w:sz="0" w:space="0" w:color="auto"/>
        <w:right w:val="none" w:sz="0" w:space="0" w:color="auto"/>
      </w:divBdr>
    </w:div>
    <w:div w:id="471292992">
      <w:bodyDiv w:val="1"/>
      <w:marLeft w:val="0"/>
      <w:marRight w:val="0"/>
      <w:marTop w:val="0"/>
      <w:marBottom w:val="0"/>
      <w:divBdr>
        <w:top w:val="none" w:sz="0" w:space="0" w:color="auto"/>
        <w:left w:val="none" w:sz="0" w:space="0" w:color="auto"/>
        <w:bottom w:val="none" w:sz="0" w:space="0" w:color="auto"/>
        <w:right w:val="none" w:sz="0" w:space="0" w:color="auto"/>
      </w:divBdr>
    </w:div>
    <w:div w:id="581715796">
      <w:bodyDiv w:val="1"/>
      <w:marLeft w:val="0"/>
      <w:marRight w:val="0"/>
      <w:marTop w:val="0"/>
      <w:marBottom w:val="0"/>
      <w:divBdr>
        <w:top w:val="none" w:sz="0" w:space="0" w:color="auto"/>
        <w:left w:val="none" w:sz="0" w:space="0" w:color="auto"/>
        <w:bottom w:val="none" w:sz="0" w:space="0" w:color="auto"/>
        <w:right w:val="none" w:sz="0" w:space="0" w:color="auto"/>
      </w:divBdr>
    </w:div>
    <w:div w:id="630208336">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11465457">
      <w:bodyDiv w:val="1"/>
      <w:marLeft w:val="0"/>
      <w:marRight w:val="0"/>
      <w:marTop w:val="0"/>
      <w:marBottom w:val="0"/>
      <w:divBdr>
        <w:top w:val="none" w:sz="0" w:space="0" w:color="auto"/>
        <w:left w:val="none" w:sz="0" w:space="0" w:color="auto"/>
        <w:bottom w:val="none" w:sz="0" w:space="0" w:color="auto"/>
        <w:right w:val="none" w:sz="0" w:space="0" w:color="auto"/>
      </w:divBdr>
    </w:div>
    <w:div w:id="907377905">
      <w:bodyDiv w:val="1"/>
      <w:marLeft w:val="0"/>
      <w:marRight w:val="0"/>
      <w:marTop w:val="0"/>
      <w:marBottom w:val="0"/>
      <w:divBdr>
        <w:top w:val="none" w:sz="0" w:space="0" w:color="auto"/>
        <w:left w:val="none" w:sz="0" w:space="0" w:color="auto"/>
        <w:bottom w:val="none" w:sz="0" w:space="0" w:color="auto"/>
        <w:right w:val="none" w:sz="0" w:space="0" w:color="auto"/>
      </w:divBdr>
    </w:div>
    <w:div w:id="1092244438">
      <w:bodyDiv w:val="1"/>
      <w:marLeft w:val="0"/>
      <w:marRight w:val="0"/>
      <w:marTop w:val="0"/>
      <w:marBottom w:val="0"/>
      <w:divBdr>
        <w:top w:val="none" w:sz="0" w:space="0" w:color="auto"/>
        <w:left w:val="none" w:sz="0" w:space="0" w:color="auto"/>
        <w:bottom w:val="none" w:sz="0" w:space="0" w:color="auto"/>
        <w:right w:val="none" w:sz="0" w:space="0" w:color="auto"/>
      </w:divBdr>
    </w:div>
    <w:div w:id="1126771666">
      <w:bodyDiv w:val="1"/>
      <w:marLeft w:val="0"/>
      <w:marRight w:val="0"/>
      <w:marTop w:val="0"/>
      <w:marBottom w:val="0"/>
      <w:divBdr>
        <w:top w:val="none" w:sz="0" w:space="0" w:color="auto"/>
        <w:left w:val="none" w:sz="0" w:space="0" w:color="auto"/>
        <w:bottom w:val="none" w:sz="0" w:space="0" w:color="auto"/>
        <w:right w:val="none" w:sz="0" w:space="0" w:color="auto"/>
      </w:divBdr>
    </w:div>
    <w:div w:id="1238973280">
      <w:bodyDiv w:val="1"/>
      <w:marLeft w:val="0"/>
      <w:marRight w:val="0"/>
      <w:marTop w:val="0"/>
      <w:marBottom w:val="0"/>
      <w:divBdr>
        <w:top w:val="none" w:sz="0" w:space="0" w:color="auto"/>
        <w:left w:val="none" w:sz="0" w:space="0" w:color="auto"/>
        <w:bottom w:val="none" w:sz="0" w:space="0" w:color="auto"/>
        <w:right w:val="none" w:sz="0" w:space="0" w:color="auto"/>
      </w:divBdr>
    </w:div>
    <w:div w:id="1246257930">
      <w:bodyDiv w:val="1"/>
      <w:marLeft w:val="0"/>
      <w:marRight w:val="0"/>
      <w:marTop w:val="0"/>
      <w:marBottom w:val="0"/>
      <w:divBdr>
        <w:top w:val="none" w:sz="0" w:space="0" w:color="auto"/>
        <w:left w:val="none" w:sz="0" w:space="0" w:color="auto"/>
        <w:bottom w:val="none" w:sz="0" w:space="0" w:color="auto"/>
        <w:right w:val="none" w:sz="0" w:space="0" w:color="auto"/>
      </w:divBdr>
    </w:div>
    <w:div w:id="1273704121">
      <w:bodyDiv w:val="1"/>
      <w:marLeft w:val="0"/>
      <w:marRight w:val="0"/>
      <w:marTop w:val="0"/>
      <w:marBottom w:val="0"/>
      <w:divBdr>
        <w:top w:val="none" w:sz="0" w:space="0" w:color="auto"/>
        <w:left w:val="none" w:sz="0" w:space="0" w:color="auto"/>
        <w:bottom w:val="none" w:sz="0" w:space="0" w:color="auto"/>
        <w:right w:val="none" w:sz="0" w:space="0" w:color="auto"/>
      </w:divBdr>
    </w:div>
    <w:div w:id="1368338169">
      <w:bodyDiv w:val="1"/>
      <w:marLeft w:val="0"/>
      <w:marRight w:val="0"/>
      <w:marTop w:val="0"/>
      <w:marBottom w:val="0"/>
      <w:divBdr>
        <w:top w:val="none" w:sz="0" w:space="0" w:color="auto"/>
        <w:left w:val="none" w:sz="0" w:space="0" w:color="auto"/>
        <w:bottom w:val="none" w:sz="0" w:space="0" w:color="auto"/>
        <w:right w:val="none" w:sz="0" w:space="0" w:color="auto"/>
      </w:divBdr>
    </w:div>
    <w:div w:id="1407725911">
      <w:bodyDiv w:val="1"/>
      <w:marLeft w:val="0"/>
      <w:marRight w:val="0"/>
      <w:marTop w:val="0"/>
      <w:marBottom w:val="0"/>
      <w:divBdr>
        <w:top w:val="none" w:sz="0" w:space="0" w:color="auto"/>
        <w:left w:val="none" w:sz="0" w:space="0" w:color="auto"/>
        <w:bottom w:val="none" w:sz="0" w:space="0" w:color="auto"/>
        <w:right w:val="none" w:sz="0" w:space="0" w:color="auto"/>
      </w:divBdr>
    </w:div>
    <w:div w:id="1568764404">
      <w:bodyDiv w:val="1"/>
      <w:marLeft w:val="0"/>
      <w:marRight w:val="0"/>
      <w:marTop w:val="0"/>
      <w:marBottom w:val="0"/>
      <w:divBdr>
        <w:top w:val="none" w:sz="0" w:space="0" w:color="auto"/>
        <w:left w:val="none" w:sz="0" w:space="0" w:color="auto"/>
        <w:bottom w:val="none" w:sz="0" w:space="0" w:color="auto"/>
        <w:right w:val="none" w:sz="0" w:space="0" w:color="auto"/>
      </w:divBdr>
    </w:div>
    <w:div w:id="1620331267">
      <w:bodyDiv w:val="1"/>
      <w:marLeft w:val="0"/>
      <w:marRight w:val="0"/>
      <w:marTop w:val="0"/>
      <w:marBottom w:val="0"/>
      <w:divBdr>
        <w:top w:val="none" w:sz="0" w:space="0" w:color="auto"/>
        <w:left w:val="none" w:sz="0" w:space="0" w:color="auto"/>
        <w:bottom w:val="none" w:sz="0" w:space="0" w:color="auto"/>
        <w:right w:val="none" w:sz="0" w:space="0" w:color="auto"/>
      </w:divBdr>
    </w:div>
    <w:div w:id="162257171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7260879">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hyperlink" Target="https://foodregulation.gov.au/internet/fr/publishing.nsf/Content/publication-Food-Safety-Management-Policy-Guideline-for-the-retail-and-food-service-sectors"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www.foodstandards.gov.au/code/proposals/Pages/P1053.aspx"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hyperlink" Target="https://www1.health.gov.au/internet/fr/publishing.nsf/Content/37F08208FAC6F504CA2582A40027AA90/$File/FRSC-RPF2007.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odstandards.gov.au/code/changes/Pages/Documents-for-public-comment.aspx" TargetMode="External"/><Relationship Id="rId20" Type="http://schemas.openxmlformats.org/officeDocument/2006/relationships/hyperlink" Target="mailto:standards.management@foodstandards.gov.au" TargetMode="External"/><Relationship Id="rId29" Type="http://schemas.openxmlformats.org/officeDocument/2006/relationships/hyperlink" Target="https://foodregulation.gov.au/internet/fr/publishing.nsf/Content/37F08208FAC6F504CA2582A40027AA90/$File/FRSC-RPF-EC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svc000111.wic055u.server-web.com/images/PDF/egg_egg_products/egg_implementation_manual/01%20integrated%20model.pdf" TargetMode="External"/><Relationship Id="rId32" Type="http://schemas.openxmlformats.org/officeDocument/2006/relationships/footer" Target="footer2.xml"/><Relationship Id="rId28" Type="http://schemas.openxmlformats.org/officeDocument/2006/relationships/hyperlink" Target="https://www1.health.gov.au/internet/main/publishing.nsf/Content/E829FA59A59677C0CA257D6A007D2C97/$File/Foodborne-Illness-Australia-circa-2010.pdf" TargetMode="External"/><Relationship Id="rId15" Type="http://schemas.openxmlformats.org/officeDocument/2006/relationships/hyperlink" Target="https://www.foodstandards.gov.au/code/changes/Pages/Documents-for-public-comment.aspx" TargetMode="External"/><Relationship Id="rId23" Type="http://schemas.openxmlformats.org/officeDocument/2006/relationships/hyperlink" Target="https://foodregulation.gov.au/internet/fr/publishing.nsf/Content/forum-communique-2018-June" TargetMode="Externa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31" Type="http://schemas.openxmlformats.org/officeDocument/2006/relationships/footer" Target="footer1.xml"/><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foodregulation.gov.au/internet/fr/publishing.nsf/Content/aus-foodborne-illness-reduction-strategy-2018-2021-Jun-2018" TargetMode="External"/><Relationship Id="rId27" Type="http://schemas.openxmlformats.org/officeDocument/2006/relationships/hyperlink" Target="http://www.foodstandards.gov.au/foodsafety/standards/Pages/Safe-Food-Australia-%E2%80%93-A-guide-to-the-Food-Safety-Standards.aspx"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2.health.wa.gov.au/~/media/Files/Corporate/general%20documents/food/PDF/WA_Food_Regulation_Food_Business_Risk_Profiling.pdf" TargetMode="External"/><Relationship Id="rId3" Type="http://schemas.openxmlformats.org/officeDocument/2006/relationships/hyperlink" Target="https://webarchive.nla.gov.au/awa/20151020103533/http://www.health.gov.au/internet/main/publishing.nsf/Content/foodsecretariat-isc-model.htm" TargetMode="External"/><Relationship Id="rId7" Type="http://schemas.openxmlformats.org/officeDocument/2006/relationships/hyperlink" Target="https://www.health.vic.gov.au/food-safety/food-business-classification" TargetMode="External"/><Relationship Id="rId2" Type="http://schemas.openxmlformats.org/officeDocument/2006/relationships/hyperlink" Target="https://foodregulation.gov.au/internet/fr/publishing.nsf/Content/9FB67C943A4DA693CA25801B0011D683/$File/2011-12-FRSC-Revised%20Food%20Safety%20Management%20for%20Retail-Food%20Sectors.docx" TargetMode="External"/><Relationship Id="rId1" Type="http://schemas.openxmlformats.org/officeDocument/2006/relationships/hyperlink" Target="https://www.foodstandards.gov.au/code/proposals/Documents/P1053%20Consultation%20paper.docx" TargetMode="External"/><Relationship Id="rId6" Type="http://schemas.openxmlformats.org/officeDocument/2006/relationships/hyperlink" Target="https://www.qld.gov.au/health/staying-healthy/food-pantry/starting-a-food-business/food-business-licences/do-i-need-a-food-business-licence" TargetMode="External"/><Relationship Id="rId11" Type="http://schemas.openxmlformats.org/officeDocument/2006/relationships/hyperlink" Target="https://www.foodstandards.gov.au/code/proposals/Pages/P1053.aspx" TargetMode="External"/><Relationship Id="rId5" Type="http://schemas.openxmlformats.org/officeDocument/2006/relationships/hyperlink" Target="https://www.foodstandards.gov.au/publications/documents/ANZFA_1578_Info_Paper__final.pdf" TargetMode="External"/><Relationship Id="rId10" Type="http://schemas.openxmlformats.org/officeDocument/2006/relationships/hyperlink" Target="http://www.foodstandards.gov.au/foodsafety/standards/review/Pages/default.aspx" TargetMode="External"/><Relationship Id="rId4" Type="http://schemas.openxmlformats.org/officeDocument/2006/relationships/hyperlink" Target="https://www.foodstandards.gov.au/foodsafety/standards/Pages/Review-of-Standard-4.2.5-%E2%80%93-Primary-production-and-processing-standard-for-eggs-and-egg-products.aspx" TargetMode="External"/><Relationship Id="rId9" Type="http://schemas.openxmlformats.org/officeDocument/2006/relationships/hyperlink" Target="https://foodregulation.gov.au/internet/fr/publishing.nsf/Content/publication-stategic-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768EE432714FA949899ABC1E1167DF61" ma:contentTypeVersion="23" ma:contentTypeDescription="Files created by FSANZ including letters, draft documents and ideas for FSANZ business." ma:contentTypeScope="" ma:versionID="e747d206d4f23d9dcfb066b12a85e250">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93A8BF-6C04-4EAA-83F6-0485258FEB12}"/>
</file>

<file path=customXml/itemProps2.xml><?xml version="1.0" encoding="utf-8"?>
<ds:datastoreItem xmlns:ds="http://schemas.openxmlformats.org/officeDocument/2006/customXml" ds:itemID="{4CF102CF-DC7A-47E0-9721-65AC98F48F65}"/>
</file>

<file path=customXml/itemProps3.xml><?xml version="1.0" encoding="utf-8"?>
<ds:datastoreItem xmlns:ds="http://schemas.openxmlformats.org/officeDocument/2006/customXml" ds:itemID="{24BDEBB4-7D00-4B85-B641-B760F8212D5E}"/>
</file>

<file path=customXml/itemProps4.xml><?xml version="1.0" encoding="utf-8"?>
<ds:datastoreItem xmlns:ds="http://schemas.openxmlformats.org/officeDocument/2006/customXml" ds:itemID="{76F15D15-5371-47B9-846E-760568F31087}">
  <ds:schemaRefs>
    <ds:schemaRef ds:uri="http://schemas.microsoft.com/sharepoint/events"/>
  </ds:schemaRefs>
</ds:datastoreItem>
</file>

<file path=customXml/itemProps5.xml><?xml version="1.0" encoding="utf-8"?>
<ds:datastoreItem xmlns:ds="http://schemas.openxmlformats.org/officeDocument/2006/customXml" ds:itemID="{EF85F6F6-4898-4FEA-9154-91198397E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C804E2-CB3D-4365-854F-F1229860A369}"/>
</file>

<file path=customXml/itemProps7.xml><?xml version="1.0" encoding="utf-8"?>
<ds:datastoreItem xmlns:ds="http://schemas.openxmlformats.org/officeDocument/2006/customXml" ds:itemID="{3C9C033B-06FC-4506-9231-C6DD16456E0F}"/>
</file>

<file path=docProps/app.xml><?xml version="1.0" encoding="utf-8"?>
<Properties xmlns="http://schemas.openxmlformats.org/officeDocument/2006/extended-properties" xmlns:vt="http://schemas.openxmlformats.org/officeDocument/2006/docPropsVTypes">
  <Template>Normal</Template>
  <TotalTime>13</TotalTime>
  <Pages>42</Pages>
  <Words>13931</Words>
  <Characters>83838</Characters>
  <Application>Microsoft Office Word</Application>
  <DocSecurity>0</DocSecurity>
  <Lines>698</Lines>
  <Paragraphs>195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97574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Sally Ronaldson</cp:lastModifiedBy>
  <cp:revision>8</cp:revision>
  <cp:lastPrinted>2022-02-10T20:44:00Z</cp:lastPrinted>
  <dcterms:created xsi:type="dcterms:W3CDTF">2022-02-10T00:34:00Z</dcterms:created>
  <dcterms:modified xsi:type="dcterms:W3CDTF">2022-02-10T20:44:00Z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fa2be8d0-7751-4a88-9603-684042c86abe</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e3c84653-4108-4aba-94f2-5335dd74b627</vt:lpwstr>
  </property>
  <property fmtid="{D5CDD505-2E9C-101B-9397-08002B2CF9AE}" pid="9" name="bjClsUserRVM">
    <vt:lpwstr>[]</vt:lpwstr>
  </property>
  <property fmtid="{D5CDD505-2E9C-101B-9397-08002B2CF9AE}" pid="10" name="RecordPoint_WorkflowType">
    <vt:lpwstr>ActiveSubmitStub</vt:lpwstr>
  </property>
  <property fmtid="{D5CDD505-2E9C-101B-9397-08002B2CF9AE}" pid="11" name="RecordPoint_ActiveItemWebId">
    <vt:lpwstr>{62f05e43-8b36-4cf6-8b6f-dd7a85ad736f}</vt:lpwstr>
  </property>
  <property fmtid="{D5CDD505-2E9C-101B-9397-08002B2CF9AE}" pid="12" name="RecordPoint_ActiveItemSiteId">
    <vt:lpwstr>{dd95a578-5c6a-4f11-92f7-f95884d628d6}</vt:lpwstr>
  </property>
  <property fmtid="{D5CDD505-2E9C-101B-9397-08002B2CF9AE}" pid="13" name="RecordPoint_ActiveItemListId">
    <vt:lpwstr>{866e080a-722d-4768-a259-fea73badf987}</vt:lpwstr>
  </property>
  <property fmtid="{D5CDD505-2E9C-101B-9397-08002B2CF9AE}" pid="14" name="RecordPoint_ActiveItemUniqueId">
    <vt:lpwstr>{7674fbe5-0e16-4489-8842-f43bcb9c5715}</vt:lpwstr>
  </property>
  <property fmtid="{D5CDD505-2E9C-101B-9397-08002B2CF9AE}" pid="15" name="RecordPoint_RecordNumberSubmitted">
    <vt:lpwstr>R0000196154</vt:lpwstr>
  </property>
  <property fmtid="{D5CDD505-2E9C-101B-9397-08002B2CF9AE}" pid="16" name="RecordPoint_SubmissionCompleted">
    <vt:lpwstr>2022-01-25T17:20:14.5614306+11:00</vt:lpwstr>
  </property>
  <property fmtid="{D5CDD505-2E9C-101B-9397-08002B2CF9AE}" pid="17"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8" name="bjDocumentLabelXML-0">
    <vt:lpwstr>ames.com/2008/01/sie/internal/label"&gt;&lt;element uid="66ddac19-06c4-4e63-b4dd-d8240d87a23f" value="" /&gt;&lt;/sisl&gt;</vt:lpwstr>
  </property>
  <property fmtid="{D5CDD505-2E9C-101B-9397-08002B2CF9AE}" pid="19" name="bjDocumentSecurityLabel">
    <vt:lpwstr>NO SECURITY CLASSIFICATION REQUIRED</vt:lpwstr>
  </property>
</Properties>
</file>